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B0E4" w14:textId="77777777" w:rsidR="002C578F" w:rsidRPr="004D232D" w:rsidRDefault="002C578F" w:rsidP="00976D32">
      <w:pPr>
        <w:spacing w:before="120" w:line="360" w:lineRule="auto"/>
        <w:jc w:val="center"/>
        <w:rPr>
          <w:rFonts w:ascii="Times" w:hAnsi="Times" w:cs="Times New Roman"/>
          <w:b/>
          <w:bCs/>
          <w:smallCaps/>
          <w:color w:val="000000" w:themeColor="text1"/>
          <w:sz w:val="24"/>
          <w:szCs w:val="24"/>
        </w:rPr>
      </w:pPr>
      <w:bookmarkStart w:id="0" w:name="_GoBack"/>
      <w:bookmarkEnd w:id="0"/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UZASADNIENIE </w:t>
      </w:r>
    </w:p>
    <w:p w14:paraId="2BA0DAD2" w14:textId="77777777" w:rsidR="002C578F" w:rsidRPr="004D232D" w:rsidRDefault="002C578F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</w:p>
    <w:p w14:paraId="54F76269" w14:textId="77777777" w:rsidR="002C578F" w:rsidRPr="004D232D" w:rsidRDefault="002C578F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I. Potrzeba i cel uchwalenia projektowanej regulacji</w:t>
      </w:r>
    </w:p>
    <w:p w14:paraId="318731DC" w14:textId="12D98F75" w:rsidR="004D232D" w:rsidRPr="004D232D" w:rsidRDefault="00EA19EF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EA19EF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W ciągu ostatnich lat instytucje odpowiedzialne za ochronę interesów konsumentów </w:t>
      </w:r>
      <w:r>
        <w:rPr>
          <w:rFonts w:ascii="Times" w:hAnsi="Times" w:cs="Times New Roman"/>
          <w:color w:val="000000" w:themeColor="text1"/>
          <w:sz w:val="24"/>
          <w:szCs w:val="24"/>
          <w:lang w:eastAsia="pl-PL"/>
        </w:rPr>
        <w:br/>
      </w:r>
      <w:r w:rsidRPr="00EA19EF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w państwach członkowskich Unii Europejskiej obserwują wpływ skarg, związanych </w:t>
      </w:r>
      <w:r>
        <w:rPr>
          <w:rFonts w:ascii="Times" w:hAnsi="Times" w:cs="Times New Roman"/>
          <w:color w:val="000000" w:themeColor="text1"/>
          <w:sz w:val="24"/>
          <w:szCs w:val="24"/>
          <w:lang w:eastAsia="pl-PL"/>
        </w:rPr>
        <w:br/>
      </w:r>
      <w:r w:rsidRPr="00EA19EF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z naruszeniami praw konsumentów, stanowiący istotną część ogólnej liczby zawiadomień i sygnałów, wpływających rocznie do tego typu organów</w:t>
      </w:r>
      <w:r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.</w:t>
      </w:r>
      <w:r w:rsidR="004D232D"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Dlatego też, zwłaszcza w sytuacjach kryzysowych, skuteczna, szybka i celowa interwencja, mająca na cel</w:t>
      </w:r>
      <w:r w:rsidR="00653140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u</w:t>
      </w:r>
      <w:r w:rsidR="004D232D"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zapobieganie oraz usuwanie zaistniałych naruszeń praw konsumentów, ma kluczowe znaczenie dla bezpieczeństwa obrotu i budowania zaufania obywateli do państwa.</w:t>
      </w:r>
    </w:p>
    <w:p w14:paraId="2A9084FD" w14:textId="0CD01651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Skuteczna i efektywna ochrona konsumentów ma szczególnie istotne znaczenie dla funkcjonowania rynku usług finansowych, który jest rynkiem wiążącym się ze zwiększonym ryzykiem dla konsumentów. Produkty na nim oferowane cechuje </w:t>
      </w:r>
      <w:r w:rsidR="000B25F4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często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nie tylko wysoki poziom skomplikowania, ale też ich nabycie pociąga za sobą długotrwałe zobowiązania finansowe (np. kredyty, ubezpieczenia), mające istotny wpływ na funkcjonalnie zarówno poszczególnych konsumentów, jak i całych gospodarstw domowych. Przykładowo, w ostatnich kilku latach można zaobserwować narastanie w Polsce problemu tzw. missellingu, czyli sprzedaży produktów niedopasowanych do potrzeb konsumenta. Dotyczy on w największym stopniu niektórych produktów finansowych, których stopień skomplikowania (naturalny lub celowy) wyklucza możliwości oceny ich odpowiedniości przez typowego konsumenta. </w:t>
      </w:r>
    </w:p>
    <w:p w14:paraId="054A9D01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Racjonalnym oczekiwaniem klientów podmiotów rynku finansowego jest więc możliwość uzyskania szybkiej pomocy  w przypadkach zaobserwowanych naruszeń prawa, tj. uzyskania nieodpłatnej pomocy i informacji prawnej, a w szczególności podjęcie przez organy państwowe działań interwencyjnych.</w:t>
      </w:r>
    </w:p>
    <w:p w14:paraId="1A75E098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Tymczasem w obecnym stanie prawnym system ochrony praw konsumentów w Polsce jest dychotomiczny. Funkcjonują na nim równolegle:</w:t>
      </w:r>
    </w:p>
    <w:p w14:paraId="3735E7A8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1)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ab/>
        <w:t xml:space="preserve">podmioty działające w interesie ogółu konsumentów (zbiorowe interesy konsumentów) takie jak: Komisja Nadzoru Finansowego </w:t>
      </w:r>
      <w:r w:rsidR="006C3713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(KNF) 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i Urząd Ochrony Konkurencji i Konsumentów</w:t>
      </w:r>
      <w:r w:rsidR="006C3713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(UOKiK)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, oraz</w:t>
      </w:r>
    </w:p>
    <w:p w14:paraId="2A04F9F7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lastRenderedPageBreak/>
        <w:t>2)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ab/>
        <w:t>podmioty, których celem jest występowanie w ochronie indywidualnych praw konsumentów - Rzecznik Finansowy oraz powiatowi i miejscy rzecznicy konsumentów.</w:t>
      </w:r>
    </w:p>
    <w:p w14:paraId="1BF63BB8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Co więcej, obecnie znaczna część kompetencji, pozostających we właściwości Prezesa Urzędu Ochrony Konkurencji i Konsumentów</w:t>
      </w:r>
      <w:r w:rsidR="006C3713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(Prezes Urzędu)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jest powielana przez Rzecznika Finansowego. Należą do nich m.in.: </w:t>
      </w:r>
    </w:p>
    <w:p w14:paraId="505DC428" w14:textId="77777777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możliwość złożenia istotnego poglądu w sprawie,</w:t>
      </w:r>
    </w:p>
    <w:p w14:paraId="383B02DB" w14:textId="77777777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opiniowanie projektów aktów prawnych, dotyczących organizacji 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br/>
        <w:t>i funkcjonowania podmiotów rynku finansowego,</w:t>
      </w:r>
    </w:p>
    <w:p w14:paraId="4AE95A9C" w14:textId="77777777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informowanie właściwych organów nadzoru i kontroli o dostrzeżonych nieprawidłowościach w funkcjonowaniu podmiotów rynku finansowego,</w:t>
      </w:r>
    </w:p>
    <w:p w14:paraId="7545DE59" w14:textId="77777777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występowanie do podmiotów rynku finansowego oraz innych podmiotów, których działalność wiąże się z rozpatrywaną sprawą, o udzielenie informacji lub wyjaśnień, udostępnienie akt oraz dokumentów,</w:t>
      </w:r>
    </w:p>
    <w:p w14:paraId="146FE7B5" w14:textId="25F4E7B6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przeprowadzanie lub zlecanie badania dotyczącego sytuacji na rynku finansowym, w szczególności ochrony interesów klientów podmiotów tego rynku.</w:t>
      </w:r>
    </w:p>
    <w:p w14:paraId="2418C979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Z raportu Najwyższej Izby Kontroli z 8 kwietnia 2013 r. dotyczącego funkcjonowania systemu ochrony praw klientów podmiotów rynku finansowego wynika, że główną przyczyną problemów konsumentów z uzyskaniem niezbędnej pomocy jest rozproszenie kompetencji pomiędzy poszczególnymi organami i instytucjami, odpowiedzialnymi za ochronę konsumentów. Konsumenci często zwracają się o wsparcie w sprawach indywidualnych do organów działających w interesie publicznym (UOKiK, KNF), które, z uwagi na ograniczenia prawne, nie mogą udzielić im oczekiwanej pomocy. </w:t>
      </w:r>
    </w:p>
    <w:p w14:paraId="23FA83CD" w14:textId="7C7C5279" w:rsidR="00C167CD" w:rsidRDefault="004D232D" w:rsidP="004D232D">
      <w:pPr>
        <w:spacing w:before="120" w:after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Mając na uwadze powyższe, konieczne jest zwiększenie skuteczności i efektywności systemu ochrony konsumenta rynku finansowego, do czego przyczyni się konsolidacja wykorzystywanych w tym celu narzędzi, w jednym, sprawnie działającym organie 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br/>
        <w:t xml:space="preserve">o szerokim zakresie właściwości. </w:t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Ponadto połączenie w </w:t>
      </w:r>
      <w:r w:rsidR="00100FB8" w:rsidRPr="004D232D">
        <w:rPr>
          <w:rFonts w:ascii="Times" w:hAnsi="Times" w:cs="Times New Roman"/>
          <w:color w:val="000000" w:themeColor="text1"/>
          <w:sz w:val="24"/>
          <w:szCs w:val="24"/>
        </w:rPr>
        <w:t>ramach jednego organu</w:t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zadań 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br/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w zakresie ochrony interesów konsumentów na rynku finansowym pozwoli na prowadzenie spójnej </w:t>
      </w:r>
      <w:r w:rsidR="00803753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i skutecznej </w:t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>kampanii informacyjnej dotycząc</w:t>
      </w:r>
      <w:r w:rsidR="007F6450">
        <w:rPr>
          <w:rFonts w:ascii="Times" w:hAnsi="Times" w:cs="Times New Roman"/>
          <w:color w:val="000000" w:themeColor="text1"/>
          <w:sz w:val="24"/>
          <w:szCs w:val="24"/>
        </w:rPr>
        <w:t>ej</w:t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praw klientów rynku finansowego, a co za tym idzie zwiększenie jej skuteczności. </w:t>
      </w:r>
    </w:p>
    <w:p w14:paraId="5C9F092B" w14:textId="77777777" w:rsidR="00C167CD" w:rsidRDefault="00C167CD" w:rsidP="004D232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7CD">
        <w:rPr>
          <w:rFonts w:ascii="Times New Roman" w:hAnsi="Times New Roman" w:cs="Times New Roman"/>
          <w:sz w:val="24"/>
          <w:szCs w:val="24"/>
        </w:rPr>
        <w:t>Połączenie tych kompetencji oraz instrumentarium w rękach Prezsa U</w:t>
      </w:r>
      <w:r w:rsidR="006C3713">
        <w:rPr>
          <w:rFonts w:ascii="Times New Roman" w:hAnsi="Times New Roman" w:cs="Times New Roman"/>
          <w:sz w:val="24"/>
          <w:szCs w:val="24"/>
        </w:rPr>
        <w:t>rzędu</w:t>
      </w:r>
      <w:r w:rsidRPr="00C167CD">
        <w:rPr>
          <w:rFonts w:ascii="Times New Roman" w:hAnsi="Times New Roman" w:cs="Times New Roman"/>
          <w:sz w:val="24"/>
          <w:szCs w:val="24"/>
        </w:rPr>
        <w:t xml:space="preserve"> w znaczący sposób poprawi poziom ochrony konsumen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67CD">
        <w:rPr>
          <w:rFonts w:ascii="Times New Roman" w:hAnsi="Times New Roman" w:cs="Times New Roman"/>
          <w:sz w:val="24"/>
          <w:szCs w:val="24"/>
        </w:rPr>
        <w:t xml:space="preserve">ów rynku finansowego, zapewni spójność działań </w:t>
      </w:r>
      <w:r w:rsidRPr="00C167CD">
        <w:rPr>
          <w:rFonts w:ascii="Times New Roman" w:hAnsi="Times New Roman" w:cs="Times New Roman"/>
          <w:sz w:val="24"/>
          <w:szCs w:val="24"/>
        </w:rPr>
        <w:lastRenderedPageBreak/>
        <w:t>z tym związanych, jak również dostosuje poziom ochrony do szybko zmieniających się realiów rynku fnansowego.</w:t>
      </w:r>
    </w:p>
    <w:p w14:paraId="4874D7EE" w14:textId="77777777" w:rsidR="00856303" w:rsidRPr="00C167CD" w:rsidRDefault="00856303" w:rsidP="004D232D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F8B37" w14:textId="77777777" w:rsidR="005202B4" w:rsidRPr="004D232D" w:rsidRDefault="005202B4" w:rsidP="00976D32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II. Opis proponowanych rozwiązań</w:t>
      </w:r>
    </w:p>
    <w:p w14:paraId="26FC9998" w14:textId="77777777" w:rsidR="005202B4" w:rsidRPr="004D232D" w:rsidRDefault="00AC41C5" w:rsidP="00976D32">
      <w:pPr>
        <w:spacing w:before="120" w:line="360" w:lineRule="auto"/>
        <w:ind w:left="426" w:hanging="426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1</w:t>
      </w:r>
      <w:r w:rsidR="005202B4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.</w:t>
      </w:r>
      <w:r w:rsidR="005202B4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ab/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Przepisy ogólne </w:t>
      </w:r>
    </w:p>
    <w:p w14:paraId="439D232D" w14:textId="77777777" w:rsidR="00F8413F" w:rsidRPr="004D232D" w:rsidRDefault="00E21C96" w:rsidP="00976D32">
      <w:pPr>
        <w:spacing w:before="120" w:line="360" w:lineRule="auto"/>
        <w:ind w:left="426" w:hanging="426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a) zakres przedmiotowy </w:t>
      </w:r>
    </w:p>
    <w:p w14:paraId="7E5B4FB5" w14:textId="56F239E8" w:rsidR="00F8413F" w:rsidRPr="004D232D" w:rsidRDefault="00E21C96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Projektowany art. 1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określa zakres przedmiotowy nowej regulacji, który dostosowany został do zmiany w zakresie przejęcia dotychczasowych zadań Rzecznika Finansowego przez Prezesa Urzędu oraz uzupełniony w taki sposób, by zapewnić wyczerpujące określenie zakresu przedmiotowego regulacji, przez </w:t>
      </w:r>
      <w:r w:rsidR="007F6450">
        <w:rPr>
          <w:rFonts w:ascii="Times" w:hAnsi="Times" w:cs="Times New Roman"/>
          <w:bCs/>
          <w:color w:val="000000" w:themeColor="text1"/>
          <w:sz w:val="24"/>
          <w:szCs w:val="24"/>
        </w:rPr>
        <w:t>określenie zadań Prezesa Urzędu w zakresie ochrony interesów klientów podmiotów rynku finansowego, zasad finansowania systemu ochrony klentów podmiotów rynku finansowego</w:t>
      </w:r>
      <w:r w:rsidR="003E6671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  <w:r w:rsidR="007F645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czy też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uwzględnienie trybu prowadzenia pozasądowego postępowania w 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sprawie rozwiązywania sporów mię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dzy klientem a podmiotem rynku finansowego. </w:t>
      </w:r>
    </w:p>
    <w:p w14:paraId="100DD535" w14:textId="77777777" w:rsidR="00E21C96" w:rsidRPr="004D232D" w:rsidRDefault="00E21C96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b) definicje </w:t>
      </w:r>
    </w:p>
    <w:p w14:paraId="7DB90EDE" w14:textId="77777777" w:rsidR="00E21C96" w:rsidRPr="004D232D" w:rsidRDefault="00E21C96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Projektowany art. 2 zawierający definicje ustawowe pojęć używanych w projektowanej regulacji nie zawiera istotnych zmian względem poprzednio obowiązującego stanu prawnego. 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>Zdefiniowano m. in. pojęcie klienta podmiotu rynku finansowego, podmiotu rynku finansowego oraz reklamacji.</w:t>
      </w:r>
    </w:p>
    <w:p w14:paraId="3F7C58D4" w14:textId="0F97790F" w:rsidR="00E21C96" w:rsidRPr="004D232D" w:rsidRDefault="00561858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2. Rek</w:t>
      </w:r>
      <w:r w:rsidR="009C0FDA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lamacj</w:t>
      </w:r>
      <w:r w:rsidR="000B25F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e składane przez klientów</w:t>
      </w:r>
      <w:r w:rsidR="009C0FDA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podmiot</w:t>
      </w:r>
      <w:r w:rsidR="000B25F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ów</w:t>
      </w:r>
      <w:r w:rsidR="009C0FDA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rynku fi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n</w:t>
      </w:r>
      <w:r w:rsidR="009C0FDA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an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sowego</w:t>
      </w:r>
    </w:p>
    <w:p w14:paraId="02B179B7" w14:textId="458C958F" w:rsidR="000B2A39" w:rsidRDefault="00F3693B" w:rsidP="00856303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Projektowany rozdział 2 ustawy stanowi regulację </w:t>
      </w:r>
      <w:r w:rsidR="0042454F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procedur reklamacyjnych. Przedmiotowa regulacja określa sposób rozpatrywania reklamacji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, obowiązki podmiotu rynku finansowego w odniesieniu do formy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jakiej ma być przedstawiona odpowiedź na reklamację, termin na udzielenie takiej odpowiedzi, skutki niedotrzymania tego terminu</w:t>
      </w:r>
      <w:r w:rsidR="0042454F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przez podmioty rynku finansowego oraz procedurę weryfikacji sposobu ich rozpatrzenia. 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Podmiotem właściwym </w:t>
      </w:r>
      <w:r w:rsidR="000B25F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w sprawie wniosku o rozpatrzenie sprawy nieuwzględnienia roszczeń wynikających z reklamacji klienta podmiotu rynku finansowego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będzie Prezes Urzędu</w:t>
      </w:r>
      <w:r w:rsidR="000B25F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</w:t>
      </w:r>
    </w:p>
    <w:p w14:paraId="6D971A59" w14:textId="77777777" w:rsidR="0042454F" w:rsidRPr="004D232D" w:rsidRDefault="0042454F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3. Zadania Prezesa Urzędu w zakresie ochrony klientów rynku finansowego</w:t>
      </w:r>
    </w:p>
    <w:p w14:paraId="58DAC35E" w14:textId="56A36944" w:rsidR="0042454F" w:rsidRPr="004D232D" w:rsidRDefault="0042454F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Projektowany rozdział 3 reguluje zadania Prezesa Urzę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du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zakresie ochrony klientów rynku finansowego, które stanowią dopełnienie 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istniejących już kompetencji Prezesa Urzędu. Zgodnie z projektowan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>ym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2411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art. 1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0</w:t>
      </w:r>
      <w:r w:rsidR="002411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do zadań 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Prezes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a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Urzędu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zakresie ochrony klientów rynku finansowego należy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:</w:t>
      </w:r>
    </w:p>
    <w:p w14:paraId="5B85C171" w14:textId="560A2FC4" w:rsidR="009F472E" w:rsidRPr="004D232D" w:rsidRDefault="009F472E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- </w:t>
      </w:r>
      <w:r w:rsidR="002411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rozpatrywani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="002411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wniosków w indywidualnych sprawach, wniesionych na skutek nieuwzględnienia roszczeń klienta przez podmioty rynku finansowego w trybie rozpatrywania reklamacji,</w:t>
      </w:r>
    </w:p>
    <w:p w14:paraId="355AF327" w14:textId="5FD758C7" w:rsidR="000B25F4" w:rsidRDefault="0024112D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rozpatrywani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wniosków dotyczących niewykonania czynności wynikających </w:t>
      </w:r>
      <w:r w:rsidR="004D23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br/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z reklamacji </w:t>
      </w:r>
      <w:r w:rsidR="00F76A36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rozpatrzonej w terminie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</w:p>
    <w:p w14:paraId="0DB7978A" w14:textId="47F9A43C" w:rsidR="00F76A36" w:rsidRPr="004D232D" w:rsidRDefault="00F76A36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inicjowani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i organizowani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działalności edukacyjnej i informacyjnej w dziedzinie ochrony interesów klientów podmiotów rynku finansowego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</w:p>
    <w:p w14:paraId="573D4D17" w14:textId="4F1E791F" w:rsidR="00F76A36" w:rsidRPr="004D232D" w:rsidRDefault="00F76A36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przekazywani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 Komisji Nadzoru finansowego informacji o liczbie i charakterze skarg wskazujących na naruszenia ustawy z dnia 19 sierpnia o usługach płatniczych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(Dz. U. z 2020 r. poz. 794)</w:t>
      </w:r>
      <w:r w:rsidR="006C3713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według stanu na koniec każdego półrocza, w terminie 2 miesięcy po upływie danego półrocza.</w:t>
      </w:r>
      <w:r w:rsidR="00803753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</w:p>
    <w:p w14:paraId="65C361E4" w14:textId="1A4EC68C" w:rsidR="00F76A36" w:rsidRDefault="0024112D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Regulacja dotycząca zadań Prezesa Urzędu nie powiela istniejących już kompetencji Prezesa Urzędu wynikających z ustawy 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z dnia 16 lutego 2007 r.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o ochronie konkurencji i konsumentów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z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2020 r. poz. 1076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, z późn. zm.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)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(zwanej dalej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: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ustawą okik)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 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>Z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ada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>nia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Prezesa Urzędu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określone w projektowanym przepisie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>dotyczą stricte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spraw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zakresu rynku finansowego</w:t>
      </w:r>
      <w:r w:rsidR="00F76A36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, w szczególności  postępowań reklamacyjnych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i związanej z tym procedury interwencyjnej, która będzie prowadzona przez Prezesa Urzędu.</w:t>
      </w:r>
    </w:p>
    <w:p w14:paraId="138F4F4F" w14:textId="5B23ACAB" w:rsidR="000B2A39" w:rsidRPr="004D232D" w:rsidRDefault="005D119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>
        <w:rPr>
          <w:rFonts w:ascii="Times" w:hAnsi="Times" w:cs="Times New Roman"/>
          <w:bCs/>
          <w:color w:val="000000" w:themeColor="text1"/>
          <w:sz w:val="24"/>
          <w:szCs w:val="24"/>
        </w:rPr>
        <w:t>Zaproponowane rozwiązanie jest spójne systemowo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Prezes Urzędu realizuje zarówno zadania określone w </w:t>
      </w:r>
      <w:r w:rsidR="00814F20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814F20" w:rsidRPr="00814F2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16 lutego 2007 r. o ochronie konkurencji i konsumentów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jak również zgodnie z art. 31 pkt 17 tej ustawy inne zadania określone w ustawach odrębnych. </w:t>
      </w:r>
    </w:p>
    <w:p w14:paraId="7BE23741" w14:textId="32770EF9" w:rsidR="00AD2BE2" w:rsidRPr="004D232D" w:rsidRDefault="00AD2BE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Prezes Urzędu 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>będzie podejmował</w:t>
      </w:r>
      <w:r w:rsidR="00D00B24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czynności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urzędu 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albo </w:t>
      </w:r>
      <w:r w:rsidR="0047423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na wniosek podmiotów wskazanych w projektowanym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art. 11 ust. 1</w:t>
      </w:r>
      <w:r w:rsidR="0047423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. Zgodnie z</w:t>
      </w:r>
      <w:r w:rsidR="00D00B24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art. 11 ust. 2</w:t>
      </w:r>
      <w:r w:rsidR="0047423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Prezes Urzędu będzie mógł:</w:t>
      </w:r>
    </w:p>
    <w:p w14:paraId="306EA33D" w14:textId="77777777" w:rsidR="00474234" w:rsidRPr="004D232D" w:rsidRDefault="0047423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podjąć czynność,</w:t>
      </w:r>
    </w:p>
    <w:p w14:paraId="1F7920EC" w14:textId="77777777" w:rsidR="00474234" w:rsidRPr="004D232D" w:rsidRDefault="0047423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wskazać wnioskowadawcy przysługujące mu prawa i środki działania,</w:t>
      </w:r>
    </w:p>
    <w:p w14:paraId="04F0B556" w14:textId="77777777" w:rsidR="00474234" w:rsidRPr="004D232D" w:rsidRDefault="0047423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przekazać sprawę według właściwości,</w:t>
      </w:r>
    </w:p>
    <w:p w14:paraId="21694F2E" w14:textId="77777777" w:rsidR="00460FF0" w:rsidRPr="004D232D" w:rsidRDefault="0047423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- wskazać wnioskodawcy możliwość przeprowadzenia pozasądowego postępowania </w:t>
      </w:r>
      <w:r w:rsidR="00460FF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w sprawie rozwiązywania sporów między klientem a podmiotem rynku finansowego, </w:t>
      </w:r>
    </w:p>
    <w:p w14:paraId="600F4E42" w14:textId="77777777" w:rsidR="0001550E" w:rsidRDefault="00460FF0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- nie podjąć czynności, o czym zawiadamia wnioskodawcę oraz osobę, której sprawa dotyczy. </w:t>
      </w:r>
    </w:p>
    <w:p w14:paraId="463A1CCF" w14:textId="66ACF997" w:rsidR="0092221E" w:rsidRPr="00856303" w:rsidRDefault="0092221E" w:rsidP="00976D32">
      <w:pPr>
        <w:spacing w:before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" w:hAnsi="Times" w:cs="Times New Roman"/>
          <w:bCs/>
          <w:color w:val="000000" w:themeColor="text1"/>
          <w:sz w:val="24"/>
          <w:szCs w:val="24"/>
        </w:rPr>
        <w:t>Jednocześnie projektowany art. 15 wskazuje obowiązki podmiotów rynku finansowego z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wiązane z wystąpieniem do nich P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rezesa Urzędu. Zgodnie z tym przepisem na wniosek Prezesa Urzędu podmiot rynku finansowego jest obowiązany do przekazania w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zorca umowy o ś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wiadczenie usług, którym posługuje się w swojej działalności, oraz innych dokumentów stosowanych przy zawieraniu i wykonywaniu takich umów. Ponadto podmioty rynku finansowego są obowiązane poinformować Prezesa Urzędu</w:t>
      </w: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56303">
        <w:rPr>
          <w:rFonts w:ascii="Times New Roman" w:hAnsi="Times New Roman" w:cs="Times New Roman"/>
          <w:sz w:val="24"/>
          <w:szCs w:val="24"/>
        </w:rPr>
        <w:t>o podjętych działaniach lub zajętym stanowisku oraz przekazać żądane dokumenty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7E5612" w14:textId="37156180" w:rsidR="00C21E32" w:rsidRPr="004D232D" w:rsidRDefault="0092221E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>
        <w:rPr>
          <w:rFonts w:ascii="Times" w:hAnsi="Times" w:cs="Times New Roman"/>
          <w:bCs/>
          <w:color w:val="000000" w:themeColor="text1"/>
          <w:sz w:val="24"/>
          <w:szCs w:val="24"/>
        </w:rPr>
        <w:t>W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zakresie czynności podejmowanych przez Prezesa Urzędu określonych w art. 11,12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i 14 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nie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>stos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ować 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>się przepisów kodeksu post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ę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powania administracyjnego. </w:t>
      </w:r>
    </w:p>
    <w:p w14:paraId="04B8BEFE" w14:textId="0D48A707" w:rsidR="00562F21" w:rsidRPr="004D232D" w:rsidRDefault="00562F21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</w:t>
      </w:r>
      <w:r w:rsidR="00AD2BE2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rzepisy dotyczące obowiązków podmiotów rynku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finansowego, a także regulacja dotycząca nakładania kar w przypadku naruszenia obowiązków ustawowych przez podmioty rynku finansowego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(art. 41)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 zawierają jedynie zmiany dostosowujące do przejęcia przez Prezesa Urzędu kompetencji Rzecznika Finansowego. Podobnie jak regulacja projektowanego art. 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1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7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dotycząca ochrony taje</w:t>
      </w:r>
      <w:r w:rsidR="00335ED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mnicy przedsiębiorstwa, czy posiłkowego zastosowania ustawy z dnia 17 listopada 1964 r. - Kodeks postępowania cywilnego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</w:t>
      </w:r>
    </w:p>
    <w:p w14:paraId="3E83D091" w14:textId="77777777" w:rsidR="00562F21" w:rsidRPr="004D232D" w:rsidRDefault="00562F21" w:rsidP="00976D32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4. Pozasądowe rozwiązywanie sporów mi</w:t>
      </w:r>
      <w:r w:rsidR="002F0C99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ę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dzy klientem a podmiotem rynku finansowego </w:t>
      </w:r>
    </w:p>
    <w:p w14:paraId="79BEAECC" w14:textId="77777777" w:rsidR="002B1972" w:rsidRPr="004D232D" w:rsidRDefault="00FD1295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Zgodnie z obowiązującymi przepisami podmiotem uprawnionym do prowadzenia postępowania w sprawie pozasądowego rozwiązywania sporów konsumenckich w rozumieniu ustawy z dnia 23 września 2016 r. o pozasądowym rozwiązywaniu sporów konsumenckich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U. poz. 1823)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jest Rzecznik Finansowy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(art. 35b obowiązującej ustawy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5 sierpnia 2015 r. o rozpatrywaniu reklamacji przez podmioty rynku finansowego i o Rzeczniku Finansowym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). 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Postępowanie jest prowadzone przez osoby upoważnione przez 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Rze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c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znik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a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Finansow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ego (RF)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na podstawie wydanego przez niego na czas określony upoważnienia. Osoby prowadzące postępowanie muszą spełniać wymagania co do poziomu kwalifikacji określone w rozporządzeniu</w:t>
      </w:r>
      <w:r w:rsidR="00711B19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 obowiązującej ustawy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oraz prowadzą postępowanie w sposób niezależny i bezstronny.</w:t>
      </w:r>
    </w:p>
    <w:p w14:paraId="2344D307" w14:textId="7519DBC8" w:rsidR="006F7FC6" w:rsidRPr="004D232D" w:rsidRDefault="004B6FEC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Zgodnie z projektowanymi rozwią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zaniami postępowania z zakresu pozasądowego rozpatrywania sporów prowadzić będzie Koordynator do spraw pozasądowego rozwiązywania sporów między klientem a podmiotem rynku finansowego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działający przy Prezesie Urzędu Ochrony Konkurencji i Konsumentów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(zwany dalej „Koordynatorem”)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Koordynator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podmiotem uprawnionym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 prowadzenia postępowania w sprawie pozasądowego rozwiązywania sporów konsumenckich w rozumieniu ustawy z dnia 23 września 2016 r. o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 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pozasądowym rozwiązywaniu sporów konsumenckich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U. poz. 1823)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</w:p>
    <w:p w14:paraId="22608465" w14:textId="172B859F" w:rsidR="002F0C99" w:rsidRPr="004D232D" w:rsidRDefault="00E62DC7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Koordynatora </w:t>
      </w:r>
      <w:r w:rsidR="006C3713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powoływać na czteroletni</w:t>
      </w:r>
      <w:r w:rsidR="00803753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kadencję Prezes Urzędu, spo</w:t>
      </w:r>
      <w:r w:rsidR="00335ED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śród osób, które</w:t>
      </w:r>
      <w:r w:rsidR="002B1972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:</w:t>
      </w:r>
    </w:p>
    <w:p w14:paraId="6BC3C9CA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1) korzystają  z</w:t>
      </w:r>
      <w:r w:rsidR="00711B19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pełni praw publicznych;</w:t>
      </w:r>
    </w:p>
    <w:p w14:paraId="512145F0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2) nie były skazane prawomocnym wyrokiem za umyślne przestępstwo lub umyślne przestępstwo skarbowe ani nie orzeczono wobec nich zakazu zajmowania kierowniczych stanowisk lub pełnienia funkcji związanych ze szczególn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odpowiedzialnośc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organach państwa;</w:t>
      </w:r>
    </w:p>
    <w:p w14:paraId="0484F643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3) posiadaj</w:t>
      </w:r>
      <w:r w:rsidR="000C2E36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tytuł zawodowy magistra lub równorzędny 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o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raz wyróżniają się wiedzą i doświadczeniem w zakresie funkcjonowania rynku finansowego;</w:t>
      </w:r>
    </w:p>
    <w:p w14:paraId="7BE8154B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4) znają przynajmniej jeden język obcy spośród języków roboczych Unii Europejskiej;</w:t>
      </w:r>
    </w:p>
    <w:p w14:paraId="1185DDDA" w14:textId="40BA266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5) cieszą się nieposzlakowan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opinią;</w:t>
      </w:r>
    </w:p>
    <w:p w14:paraId="579CB48F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6) nie są członkami partii politycznych.</w:t>
      </w:r>
    </w:p>
    <w:p w14:paraId="31C7ACEA" w14:textId="406019BB" w:rsidR="002B1972" w:rsidRPr="004D232D" w:rsidRDefault="002B197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Perezes Urzędu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będzie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odwoł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ywał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Koordynatora przed upł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y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wem kadencji w przypadku:</w:t>
      </w:r>
    </w:p>
    <w:p w14:paraId="5441541D" w14:textId="3C25C371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1) rażącego naruszenia prawa przy wykonywaniu swojej funkcji;</w:t>
      </w:r>
    </w:p>
    <w:p w14:paraId="6944C4D5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2) choroby trwale uniemożliwiającej wykonywanie zadań;</w:t>
      </w:r>
    </w:p>
    <w:p w14:paraId="0E401997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3) utraty kwalifikacji lub zaprzestania spełniania warunków powołania na funkcję Koordynatora;</w:t>
      </w:r>
    </w:p>
    <w:p w14:paraId="4C227325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4) złożenia rezygnacji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</w:p>
    <w:p w14:paraId="60A8429B" w14:textId="6C1E9CC1" w:rsidR="00576EB4" w:rsidRPr="004D232D" w:rsidRDefault="004830F1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Koordynator wykonywać będzie swoje zadania przy pomocy zespołu. 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Koordynator upoważniać będzie pisemnie członka 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z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espołu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do prowadzenia postępowania. 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Upoważnienie udzielane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na czas określony. Projektowany art. </w:t>
      </w:r>
      <w:r w:rsidR="00D00B24">
        <w:rPr>
          <w:rFonts w:ascii="Times" w:hAnsi="Times" w:cs="Times New Roman"/>
          <w:bCs/>
          <w:color w:val="000000" w:themeColor="text1"/>
          <w:sz w:val="24"/>
          <w:szCs w:val="24"/>
        </w:rPr>
        <w:t>29-30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określa, kto może być osob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prowadząc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postępowanie w rozumieniu ustawy z dnia 23 września 2016 r. o pozasądowym rozwiązywaniu sporów konsumenckich, sposób jej działania oraz podstawy cofnięcia upoważnienia. </w:t>
      </w:r>
    </w:p>
    <w:p w14:paraId="3210314A" w14:textId="1176F57F" w:rsidR="00485772" w:rsidRPr="004D232D" w:rsidRDefault="00576EB4" w:rsidP="0048577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Regulacja postępowania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 zakresu pozasądowego rozpatrywania sporów między klientem a podmiotem rynku finansowego nie odbiega w istotny sposób od dotychczasowej proced</w:t>
      </w:r>
      <w:r w:rsidR="002B1972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ury. </w:t>
      </w:r>
      <w:r w:rsidR="00EC7A9A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Postępowanie wszczyna się na wniosek klienta podmiotu rynku finansowego. Warunki formalne dotyczące wniosku określa projektowany art. 2</w:t>
      </w:r>
      <w:r w:rsidR="00D00B24">
        <w:rPr>
          <w:rFonts w:ascii="Times" w:hAnsi="Times" w:cs="Times New Roman"/>
          <w:bCs/>
          <w:color w:val="000000" w:themeColor="text1"/>
          <w:sz w:val="24"/>
          <w:szCs w:val="24"/>
        </w:rPr>
        <w:t>2</w:t>
      </w:r>
      <w:r w:rsidR="00EC7A9A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. Zgodnie z art. 2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5</w:t>
      </w:r>
      <w:r w:rsidR="00EC7A9A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post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ę</w:t>
      </w:r>
      <w:r w:rsidR="00EC7A9A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powanie wolne będzie od opłat. Celem postępowania jest polubowne zakończenie sporu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  <w:r w:rsidR="00485772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tym że wnioskodawca może wnosić o:</w:t>
      </w:r>
    </w:p>
    <w:p w14:paraId="323FBCD3" w14:textId="77777777" w:rsidR="00485772" w:rsidRPr="004D232D" w:rsidRDefault="00485772" w:rsidP="0048577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1)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ab/>
        <w:t>umożliwienie zbliżenia stanowisk stron w celu rozwiązania sporu przez jego strony lub</w:t>
      </w:r>
    </w:p>
    <w:p w14:paraId="523BB56E" w14:textId="77777777" w:rsidR="001042B8" w:rsidRDefault="0048577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2)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ab/>
        <w:t xml:space="preserve">przedstawienie stronom propozycji rozwiązania sporu. </w:t>
      </w:r>
    </w:p>
    <w:p w14:paraId="6CDFCE62" w14:textId="0DDF021E" w:rsidR="00856303" w:rsidRDefault="00485772" w:rsidP="00856303">
      <w:pPr>
        <w:pStyle w:val="ARTartustawynprozporzdzenia"/>
        <w:ind w:firstLine="0"/>
      </w:pPr>
      <w:r w:rsidRPr="004D232D">
        <w:rPr>
          <w:rFonts w:cs="Times New Roman"/>
          <w:bCs/>
          <w:color w:val="000000" w:themeColor="text1"/>
          <w:szCs w:val="24"/>
        </w:rPr>
        <w:t>W</w:t>
      </w:r>
      <w:r w:rsidR="00EC7A9A" w:rsidRPr="004D232D">
        <w:rPr>
          <w:rFonts w:cs="Times New Roman"/>
          <w:bCs/>
          <w:color w:val="000000" w:themeColor="text1"/>
          <w:szCs w:val="24"/>
        </w:rPr>
        <w:t xml:space="preserve"> przypadku  </w:t>
      </w:r>
      <w:r w:rsidRPr="004D232D">
        <w:rPr>
          <w:rFonts w:cs="Times New Roman"/>
          <w:bCs/>
          <w:color w:val="000000" w:themeColor="text1"/>
          <w:szCs w:val="24"/>
        </w:rPr>
        <w:t xml:space="preserve">braku polubownego rozwiązania </w:t>
      </w:r>
      <w:r w:rsidR="00EC7A9A" w:rsidRPr="004D232D">
        <w:rPr>
          <w:rFonts w:cs="Times New Roman"/>
          <w:bCs/>
          <w:color w:val="000000" w:themeColor="text1"/>
          <w:szCs w:val="24"/>
        </w:rPr>
        <w:t>Koordynator sporządz</w:t>
      </w:r>
      <w:r w:rsidR="001333F0">
        <w:rPr>
          <w:rFonts w:cs="Times New Roman"/>
          <w:bCs/>
          <w:color w:val="000000" w:themeColor="text1"/>
          <w:szCs w:val="24"/>
        </w:rPr>
        <w:t>i</w:t>
      </w:r>
      <w:r w:rsidR="00EC7A9A" w:rsidRPr="004D232D">
        <w:rPr>
          <w:rFonts w:cs="Times New Roman"/>
          <w:bCs/>
          <w:color w:val="000000" w:themeColor="text1"/>
          <w:szCs w:val="24"/>
        </w:rPr>
        <w:t xml:space="preserve"> opinię, która zawiera w szczególności ocenę </w:t>
      </w:r>
      <w:r w:rsidR="00A406BC" w:rsidRPr="004D232D">
        <w:rPr>
          <w:rFonts w:cs="Times New Roman"/>
          <w:bCs/>
          <w:color w:val="000000" w:themeColor="text1"/>
          <w:szCs w:val="24"/>
        </w:rPr>
        <w:t>prawną stanu faktycznego w przedmiotowym postępowaniu.</w:t>
      </w:r>
      <w:r w:rsidR="00856303" w:rsidRPr="009A0F19">
        <w:t>.</w:t>
      </w:r>
    </w:p>
    <w:p w14:paraId="018BB5C9" w14:textId="4C3DCBBE" w:rsidR="00F8413F" w:rsidRPr="00856303" w:rsidRDefault="00A406BC" w:rsidP="00976D32">
      <w:pPr>
        <w:spacing w:before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Obowiązki sprawozdawcze w zakresie przedmiotowych postępowań mają kształt analogiczny </w:t>
      </w:r>
      <w:r w:rsidR="00485772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jak w </w:t>
      </w: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obowiązując</w:t>
      </w:r>
      <w:r w:rsidR="004830F1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ych</w:t>
      </w: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5772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przepisach</w:t>
      </w:r>
      <w:r w:rsidR="00856303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tzn. </w:t>
      </w:r>
      <w:r w:rsidR="00856303" w:rsidRPr="00856303">
        <w:rPr>
          <w:rFonts w:ascii="Times New Roman" w:hAnsi="Times New Roman" w:cs="Times New Roman"/>
          <w:sz w:val="24"/>
          <w:szCs w:val="24"/>
        </w:rPr>
        <w:t xml:space="preserve">Koordynator </w:t>
      </w:r>
      <w:r w:rsidR="00856303">
        <w:rPr>
          <w:rFonts w:ascii="Times New Roman" w:hAnsi="Times New Roman" w:cs="Times New Roman"/>
          <w:sz w:val="24"/>
          <w:szCs w:val="24"/>
        </w:rPr>
        <w:t xml:space="preserve">będzie </w:t>
      </w:r>
      <w:r w:rsidR="00856303" w:rsidRPr="00856303">
        <w:rPr>
          <w:rFonts w:ascii="Times New Roman" w:hAnsi="Times New Roman" w:cs="Times New Roman"/>
          <w:sz w:val="24"/>
          <w:szCs w:val="24"/>
        </w:rPr>
        <w:t>poda</w:t>
      </w:r>
      <w:r w:rsidR="00856303">
        <w:rPr>
          <w:rFonts w:ascii="Times New Roman" w:hAnsi="Times New Roman" w:cs="Times New Roman"/>
          <w:sz w:val="24"/>
          <w:szCs w:val="24"/>
        </w:rPr>
        <w:t>wał</w:t>
      </w:r>
      <w:r w:rsidR="00856303" w:rsidRPr="00856303">
        <w:rPr>
          <w:rFonts w:ascii="Times New Roman" w:hAnsi="Times New Roman" w:cs="Times New Roman"/>
          <w:sz w:val="24"/>
          <w:szCs w:val="24"/>
        </w:rPr>
        <w:t xml:space="preserve"> do publicznej wiadomości corocznie do dnia 31 marca dane statystyczne dotyczące przeprowadzonych postępowań zakończonych w roku poprzednim</w:t>
      </w:r>
      <w:r w:rsidR="00485772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7C9894E" w14:textId="77777777" w:rsidR="00100FB8" w:rsidRPr="004D232D" w:rsidRDefault="00576EB4" w:rsidP="00976D32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5. Finansowanie systemu ochrony konsumentów na rynku finansowym</w:t>
      </w:r>
    </w:p>
    <w:p w14:paraId="39A55266" w14:textId="6470C32F" w:rsidR="00576EB4" w:rsidRPr="004D232D" w:rsidRDefault="00576EB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Projekt przewiduje, że koszty funkcjonowania systemu ochrony konsumentów na rynku finansowym będą ponosić te same kategorie podmiotów, które zostały wskazane w art. 20 ust. 1 ustawy 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z dnia 5 sierpnia 2015</w:t>
      </w:r>
      <w:r w:rsidR="008B0EB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r. 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o rozpatrywaniu reklamacji przez podmioty rynku finansowego i o Rzeczniku Finansowym, według tych samych co obecnie zasad obliczania składek. Zgodnie z projektowanym art. 3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4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ust. 3 wpływy z opłat wnoszonych na podstawie przepisów rozdziału 5. projektu, 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będą 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stanowi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ć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dochód budżetu państwa.</w:t>
      </w:r>
    </w:p>
    <w:p w14:paraId="1656E8ED" w14:textId="77777777" w:rsidR="00100FB8" w:rsidRPr="004D232D" w:rsidRDefault="00576EB4" w:rsidP="00976D32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6. Fundusz Edukacji Finansowej</w:t>
      </w:r>
    </w:p>
    <w:p w14:paraId="1F3285B8" w14:textId="06AA4EE9" w:rsidR="00B42857" w:rsidRDefault="00856303" w:rsidP="00B42857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>
        <w:rPr>
          <w:rFonts w:ascii="Times" w:hAnsi="Times" w:cs="Times New Roman"/>
          <w:bCs/>
          <w:color w:val="000000" w:themeColor="text1"/>
          <w:sz w:val="24"/>
          <w:szCs w:val="24"/>
        </w:rPr>
        <w:t>Projekt przewiduje utworzenie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B4285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Funduszu Edukacji Finansowej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(zwany dalej „FEF” albo „Fundusz”), który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będzie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państwowym 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>fundusz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em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celow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ym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rozumieniu ustawy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z dnia 27 sierpnia 2009 r. 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>o finansach publicznych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U. z 2019 r. poz. 869, z późn. zm.)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. D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ysponentem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FEF 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Prezes Urzędu. </w:t>
      </w:r>
    </w:p>
    <w:p w14:paraId="7040B178" w14:textId="01132409" w:rsidR="00B42857" w:rsidRPr="003C2B30" w:rsidRDefault="00B42857" w:rsidP="00B4285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30">
        <w:rPr>
          <w:rFonts w:ascii="Times New Roman" w:hAnsi="Times New Roman" w:cs="Times New Roman"/>
          <w:sz w:val="24"/>
          <w:szCs w:val="24"/>
        </w:rPr>
        <w:t xml:space="preserve">Przychodami Funduszu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2B8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wpływy</w:t>
      </w:r>
      <w:r w:rsidRPr="003C2B30">
        <w:rPr>
          <w:rFonts w:ascii="Times New Roman" w:hAnsi="Times New Roman" w:cs="Times New Roman"/>
          <w:sz w:val="24"/>
          <w:szCs w:val="24"/>
        </w:rPr>
        <w:t xml:space="preserve"> z tytułu:</w:t>
      </w:r>
    </w:p>
    <w:p w14:paraId="7CE52953" w14:textId="77777777" w:rsidR="00B42857" w:rsidRPr="007812D2" w:rsidRDefault="00B42857" w:rsidP="00B42857">
      <w:pPr>
        <w:pStyle w:val="PKTpunkt"/>
      </w:pPr>
      <w:r>
        <w:t>1)</w:t>
      </w:r>
      <w:r>
        <w:tab/>
        <w:t>k</w:t>
      </w:r>
      <w:r w:rsidRPr="007812D2">
        <w:t xml:space="preserve">ar pieniężnych nakładanych przez Komisję Nadzoru Finansowego na podstawie ustaw, o których mowa w art. 1 ust. 2 ustawy z dnia 21 lipca 2006 r. o nadzorze nad rynkiem finansowym (Dz. U. z 2020 r. poz. 180, 284, 568 i 695), oraz art. 3c ust. 1 pkt 5 i art. 3g ust. 1 pkt 7 tej ustawy, z wyjątkiem kar pieniężnych nakładanych przez Komisję Nadzoru Finansowego na podstawie art. 138 ust. 3 pkt 3a i art. 141 ustawy z dnia 29 sierpnia 1997 r. – Prawo bankowe oraz art. 72 ustawy z dnia 5 listopada 2009 r. o spółdzielczych kasach oszczędnościowo-kredytowych; </w:t>
      </w:r>
    </w:p>
    <w:p w14:paraId="7E6F422B" w14:textId="77777777" w:rsidR="00B42857" w:rsidRPr="007812D2" w:rsidRDefault="00B42857" w:rsidP="00B42857">
      <w:pPr>
        <w:pStyle w:val="PKTpunkt"/>
      </w:pPr>
      <w:r w:rsidRPr="007812D2">
        <w:t xml:space="preserve">2) </w:t>
      </w:r>
      <w:r w:rsidRPr="007812D2">
        <w:tab/>
        <w:t xml:space="preserve"> kar pieniężnych, o których mowa w art. 112 ust. 2 ustawy z dnia 16 lutego 2007 r. o ochronie konkurencji i konsumentów (Dz. U. z 20</w:t>
      </w:r>
      <w:r>
        <w:t>20</w:t>
      </w:r>
      <w:r w:rsidRPr="007812D2">
        <w:t xml:space="preserve"> r. poz. </w:t>
      </w:r>
      <w:r>
        <w:t>1076 i 1086</w:t>
      </w:r>
      <w:r w:rsidRPr="007812D2">
        <w:t>);</w:t>
      </w:r>
    </w:p>
    <w:p w14:paraId="0D4A76EB" w14:textId="77777777" w:rsidR="00B42857" w:rsidRDefault="00B42857" w:rsidP="00B42857">
      <w:pPr>
        <w:pStyle w:val="PKTpunkt"/>
      </w:pPr>
      <w:r w:rsidRPr="007812D2">
        <w:t xml:space="preserve">3) </w:t>
      </w:r>
      <w:r w:rsidRPr="007812D2">
        <w:tab/>
        <w:t>kar pieniężnych, o których mowa w art. 159 ust. 5a, art. 183 ust. 4a i art. 193 ustawy z dnia 11 maja 2017 r. o biegłych rewidentach, firmach audytorskich oraz nadzorze publicznym (Dz. U. z 2019 r. poz. 1421, 1571, 2200 i 2217 oraz z 2020 r. poz. 568);</w:t>
      </w:r>
    </w:p>
    <w:p w14:paraId="7CC0BC41" w14:textId="565A247E" w:rsidR="00B42857" w:rsidRPr="00B56231" w:rsidRDefault="00B42857" w:rsidP="00B42857">
      <w:pPr>
        <w:pStyle w:val="PKTpunkt"/>
      </w:pPr>
      <w:r w:rsidRPr="00B56231">
        <w:t>4)</w:t>
      </w:r>
      <w:r w:rsidRPr="00B56231">
        <w:tab/>
        <w:t xml:space="preserve">kar pieniężnych, o których mowa w art. </w:t>
      </w:r>
      <w:r w:rsidR="0092221E">
        <w:t>41</w:t>
      </w:r>
      <w:r>
        <w:t xml:space="preserve"> ust. 1</w:t>
      </w:r>
      <w:r w:rsidRPr="00B56231">
        <w:t xml:space="preserve"> ustawy;</w:t>
      </w:r>
    </w:p>
    <w:p w14:paraId="0903143C" w14:textId="77777777" w:rsidR="00B42857" w:rsidRDefault="00B42857" w:rsidP="00B42857">
      <w:pPr>
        <w:pStyle w:val="PKTpunkt"/>
      </w:pPr>
      <w:r>
        <w:t>5</w:t>
      </w:r>
      <w:r w:rsidRPr="007812D2">
        <w:t xml:space="preserve">) </w:t>
      </w:r>
      <w:r w:rsidRPr="007812D2">
        <w:tab/>
      </w:r>
      <w:r>
        <w:t>odsetek od środków zgromadzonych w Funduszu.</w:t>
      </w:r>
      <w:r w:rsidRPr="00C23C62">
        <w:t xml:space="preserve"> </w:t>
      </w:r>
    </w:p>
    <w:p w14:paraId="562BF6C5" w14:textId="7CE7CB19" w:rsidR="00B42857" w:rsidRPr="00D82C8D" w:rsidRDefault="00B42857" w:rsidP="001042B8">
      <w:pPr>
        <w:pStyle w:val="PKTpunkt"/>
        <w:ind w:left="0" w:firstLine="0"/>
      </w:pPr>
      <w:r>
        <w:t xml:space="preserve">Dodatkowo okreśono, że </w:t>
      </w:r>
      <w:r w:rsidRPr="00D82C8D">
        <w:t xml:space="preserve">przychodami Funduszu </w:t>
      </w:r>
      <w:r w:rsidR="00856303">
        <w:t>będzie mogła być również dotacja</w:t>
      </w:r>
      <w:r w:rsidRPr="00D82C8D">
        <w:t xml:space="preserve"> celow</w:t>
      </w:r>
      <w:r w:rsidR="00856303">
        <w:t>a</w:t>
      </w:r>
      <w:r w:rsidRPr="00D82C8D">
        <w:t xml:space="preserve"> z budżetu państwa z przeznaczeniem na zwrot zmniejszonych albo uchylonych kar pieniężnych.</w:t>
      </w:r>
    </w:p>
    <w:p w14:paraId="6D2714A5" w14:textId="21A13754" w:rsidR="00B42857" w:rsidRDefault="00B42857" w:rsidP="00856303">
      <w:pPr>
        <w:pStyle w:val="PKTpunkt"/>
        <w:ind w:left="0" w:firstLine="0"/>
        <w:rPr>
          <w:rStyle w:val="Ppogrubienie"/>
          <w:b w:val="0"/>
        </w:rPr>
      </w:pPr>
      <w:r w:rsidRPr="00D82C8D">
        <w:t xml:space="preserve">Koszty obsługi  </w:t>
      </w:r>
      <w:r w:rsidR="0092221E" w:rsidRPr="00856303">
        <w:t xml:space="preserve">bankowej </w:t>
      </w:r>
      <w:r w:rsidRPr="00D82C8D">
        <w:t>Funduszu ponoszone będą z przychodów tego funduszu (projektowany art. 38 ust. 2)</w:t>
      </w:r>
      <w:r w:rsidR="0092221E">
        <w:t>.</w:t>
      </w:r>
      <w:r>
        <w:rPr>
          <w:rStyle w:val="Ppogrubienie"/>
          <w:b w:val="0"/>
        </w:rPr>
        <w:t xml:space="preserve"> </w:t>
      </w:r>
    </w:p>
    <w:p w14:paraId="0F4FFA1A" w14:textId="77777777" w:rsidR="00B42857" w:rsidRDefault="00B42857" w:rsidP="00B42857">
      <w:pPr>
        <w:pStyle w:val="USTustnpkodeksu"/>
        <w:ind w:firstLine="0"/>
      </w:pPr>
      <w:r>
        <w:rPr>
          <w:rStyle w:val="Ppogrubienie"/>
          <w:b w:val="0"/>
        </w:rPr>
        <w:t>Przychody</w:t>
      </w:r>
      <w:r w:rsidRPr="00C21E32">
        <w:rPr>
          <w:rStyle w:val="Ppogrubienie"/>
          <w:b w:val="0"/>
        </w:rPr>
        <w:t xml:space="preserve"> Funduszu będą</w:t>
      </w:r>
      <w:r>
        <w:rPr>
          <w:rStyle w:val="Ppogrubienie"/>
        </w:rPr>
        <w:t xml:space="preserve"> </w:t>
      </w:r>
      <w:r w:rsidRPr="00C23C62">
        <w:t>przeznacza</w:t>
      </w:r>
      <w:r>
        <w:t>ne</w:t>
      </w:r>
      <w:r w:rsidRPr="00C23C62">
        <w:t xml:space="preserve"> na finansowanie </w:t>
      </w:r>
      <w:r>
        <w:t xml:space="preserve">lub dofinansowanie </w:t>
      </w:r>
      <w:r w:rsidRPr="00C23C62">
        <w:t xml:space="preserve">edukacji finansowej, w szczególności na: </w:t>
      </w:r>
    </w:p>
    <w:p w14:paraId="7E07F2B2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1) </w:t>
      </w:r>
      <w:r w:rsidRPr="0097220A">
        <w:tab/>
        <w:t xml:space="preserve">organizację kampanii edukacyjnych i informacyjnych, mających na celu zwiększenie świadomości finansowej społeczeństwa; </w:t>
      </w:r>
    </w:p>
    <w:p w14:paraId="11F69944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2) </w:t>
      </w:r>
      <w:r w:rsidRPr="0097220A">
        <w:tab/>
        <w:t xml:space="preserve">opracowywanie i realizacja strategii edukacji finansowej; </w:t>
      </w:r>
    </w:p>
    <w:p w14:paraId="3C629042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3) </w:t>
      </w:r>
      <w:r w:rsidRPr="0097220A">
        <w:tab/>
        <w:t xml:space="preserve">opracowywanie i realizacja programów edukacyjnych i wydawanie publikacji popularyzujących wiedzę w zakresie funkcjonowania rynku finansowego, zagrożeń na nim występujących oraz podmiotów na nim działających; </w:t>
      </w:r>
    </w:p>
    <w:p w14:paraId="2C45038D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4) </w:t>
      </w:r>
      <w:r w:rsidRPr="0097220A">
        <w:tab/>
        <w:t xml:space="preserve">opracowywanie dokumentów dotyczących edukacji finansowej; </w:t>
      </w:r>
    </w:p>
    <w:p w14:paraId="6EA60E50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5) </w:t>
      </w:r>
      <w:r w:rsidRPr="0097220A">
        <w:tab/>
        <w:t xml:space="preserve">wspieranie projektów edukacyjnych i promocyjnych z zakresu finansów i rynku finansowego. </w:t>
      </w:r>
    </w:p>
    <w:p w14:paraId="738007F3" w14:textId="77777777" w:rsidR="00B42857" w:rsidRPr="00856303" w:rsidRDefault="00B42857" w:rsidP="00856303">
      <w:pPr>
        <w:spacing w:before="120" w:line="360" w:lineRule="auto"/>
        <w:jc w:val="both"/>
        <w:rPr>
          <w:rFonts w:ascii="Times" w:hAnsi="Times" w:cs="Times New Roman"/>
          <w:color w:val="000000" w:themeColor="text1"/>
          <w:szCs w:val="24"/>
        </w:rPr>
      </w:pPr>
      <w:r w:rsidRPr="00856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Podobnie jak w obecnym stanie prawnym projekt zakłada powołanie Rady Edukacji Finansowej (REF). Będzie ona organem opiniodawczo-doradczym Prezesa Urzędu. Do jej zadań będzie należeć, zgodnie z art. 39 </w:t>
      </w:r>
      <w:r w:rsidRPr="00856303">
        <w:rPr>
          <w:rFonts w:ascii="Times New Roman" w:hAnsi="Times New Roman" w:cs="Times New Roman"/>
          <w:color w:val="000000"/>
          <w:sz w:val="24"/>
          <w:szCs w:val="24"/>
        </w:rPr>
        <w:t xml:space="preserve">opracowywanie dla Prezesa Urzędu opinii, propozycji i wniosków w sprawach związanych z edukacja finansową, </w:t>
      </w:r>
      <w:r w:rsidRPr="00856303">
        <w:rPr>
          <w:rFonts w:ascii="Times New Roman" w:hAnsi="Times New Roman" w:cs="Times New Roman"/>
          <w:sz w:val="24"/>
          <w:szCs w:val="24"/>
        </w:rPr>
        <w:t>w szczególności:</w:t>
      </w:r>
    </w:p>
    <w:p w14:paraId="11BDDCE8" w14:textId="77777777" w:rsidR="00B42857" w:rsidRPr="00F34493" w:rsidRDefault="00B42857" w:rsidP="00856303">
      <w:pPr>
        <w:pStyle w:val="PKTpunkt"/>
      </w:pPr>
      <w:r w:rsidRPr="000A215B">
        <w:t>1)</w:t>
      </w:r>
      <w:r>
        <w:rPr>
          <w:b/>
        </w:rPr>
        <w:tab/>
      </w:r>
      <w:r w:rsidRPr="00F34493">
        <w:t xml:space="preserve">przedstawianie propozycji oraz wniosków dotyczących poprawy stanu </w:t>
      </w:r>
      <w:r w:rsidRPr="000A215B">
        <w:t>świadomości finansowej społeczeństwa</w:t>
      </w:r>
      <w:r w:rsidRPr="00F34493">
        <w:t>;</w:t>
      </w:r>
    </w:p>
    <w:p w14:paraId="3BD06BDA" w14:textId="77777777" w:rsidR="00B42857" w:rsidRPr="00F34493" w:rsidRDefault="00B42857" w:rsidP="00856303">
      <w:pPr>
        <w:pStyle w:val="PKTpunkt"/>
      </w:pPr>
      <w:r w:rsidRPr="00F34493">
        <w:t>2)</w:t>
      </w:r>
      <w:r>
        <w:tab/>
      </w:r>
      <w:r w:rsidRPr="00F34493">
        <w:t xml:space="preserve">opiniowanie projektów dokumentów, o których mowa </w:t>
      </w:r>
      <w:r w:rsidRPr="00856303">
        <w:t xml:space="preserve">w art. 38 ust. 1 pkt 2-4;  </w:t>
      </w:r>
    </w:p>
    <w:p w14:paraId="45C64D2E" w14:textId="77777777" w:rsidR="00B42857" w:rsidRDefault="00B42857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F34493">
        <w:rPr>
          <w:rFonts w:ascii="Times" w:hAnsi="Times"/>
          <w:bCs/>
          <w:sz w:val="24"/>
          <w:szCs w:val="20"/>
        </w:rPr>
        <w:t>3)</w:t>
      </w:r>
      <w:r>
        <w:tab/>
      </w:r>
      <w:r w:rsidRPr="00F34493">
        <w:rPr>
          <w:rFonts w:ascii="Times" w:hAnsi="Times"/>
          <w:bCs/>
          <w:sz w:val="24"/>
          <w:szCs w:val="20"/>
        </w:rPr>
        <w:t>wyrażanie opinii w sprawach przedstawionych przez Prezesa Urzędu</w:t>
      </w:r>
      <w:r>
        <w:rPr>
          <w:rFonts w:ascii="Times" w:hAnsi="Times"/>
          <w:bCs/>
          <w:sz w:val="24"/>
          <w:szCs w:val="20"/>
        </w:rPr>
        <w:t xml:space="preserve"> </w:t>
      </w:r>
    </w:p>
    <w:p w14:paraId="0446944B" w14:textId="21224DD0" w:rsidR="00B42857" w:rsidRDefault="00B42857" w:rsidP="00C21E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Członków R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EF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będzie powoływać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Prezes Rady Ministrów.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Członkami REF będą przedstawiciele ministra właściwego do spraw instytucji finansowych, ministra właściwego do spraw oświaty i wychowania, Prezesa U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rzędu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Przewodniczącego KNF, Prezesa NBP, Krajowego Depozytu Papieru Wartościowych S.A., Bankowego Funduszu Gwarancyjnego, Polskiego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F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unduszu Rozwoju S.A., Giełdy Papierów Wartościowych w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W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arszawie S.A.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Przedstawiciele ww. podmiotów są członkami REF również w obecnym stanie prawnym. Zgodnie z projektowanym art. 40 ust. 2 przewodniczącego REF będzie powoływać Prezes Rady Ministrów spośród członków Rady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, o których mowa w art. 40 ust. 1 pkt 1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. Prezes Rady Ministrów w drodze rozporządzenia ustali również regulamin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REF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Zasady uczestnictwa w posiedzenia REF podmiotów innych niż jej członkowie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oraz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podejmowania uchwał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przez tę radę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pozostaną niezmienione w stosunku do obecnego stanu prawnego.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984BAC7" w14:textId="77777777" w:rsidR="00F8413F" w:rsidRPr="004D232D" w:rsidRDefault="00576EB4" w:rsidP="00856303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bookmarkStart w:id="1" w:name="mip48895750"/>
      <w:bookmarkStart w:id="2" w:name="mip48895755"/>
      <w:bookmarkEnd w:id="1"/>
      <w:bookmarkEnd w:id="2"/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7. Zmiany w przepisach obowiązujących </w:t>
      </w:r>
    </w:p>
    <w:p w14:paraId="73FE5881" w14:textId="28B4978F" w:rsidR="00BE7BA5" w:rsidRPr="004D232D" w:rsidRDefault="007E077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Zmiany w przepisach obowiązujących</w:t>
      </w:r>
      <w:r w:rsidR="00BE7BA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, zaproponowane w ar</w:t>
      </w:r>
      <w:r w:rsidR="002F6639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t. 4</w:t>
      </w:r>
      <w:r w:rsidR="0097220A">
        <w:rPr>
          <w:rFonts w:ascii="Times" w:hAnsi="Times" w:cs="Times New Roman"/>
          <w:bCs/>
          <w:color w:val="000000" w:themeColor="text1"/>
          <w:sz w:val="24"/>
          <w:szCs w:val="24"/>
        </w:rPr>
        <w:t>2</w:t>
      </w:r>
      <w:r w:rsidR="002F6639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- 5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8</w:t>
      </w:r>
      <w:r w:rsidR="00BE7BA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mają </w:t>
      </w:r>
      <w:r w:rsidR="0097220A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przede wszystkim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charakter wynikowy względem zmiany mającej na celu przejęcie kompetencji Rzecznika Fianansowego przez Prezesa Urzędu i dotyczą wskazania nowego organu uprawnionego. 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Obejmują zmiany w</w:t>
      </w:r>
      <w:r w:rsidR="00BE7BA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:</w:t>
      </w:r>
    </w:p>
    <w:p w14:paraId="7F964292" w14:textId="2DCB5F20" w:rsidR="007E0772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30 lipca 1981 r. o wynagrodzeniu osób zajmujących kierownicze stanowiska państwowe (Dz. U. z 2019 r. poz. 152</w:t>
      </w:r>
      <w:r w:rsidR="00853FE6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 z późn. zm.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4284E907" w14:textId="2CC4C60E" w:rsidR="002F6639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15 lutego 1992 r. o podatku dochodowym od osób prawnych (Dz. U. z 2019 r. poz. 865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późn. zm.)</w:t>
      </w:r>
      <w:r w:rsidR="00EC5193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</w:p>
    <w:p w14:paraId="7FEC9378" w14:textId="6683545D" w:rsidR="002F6639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29 sierpnia 1997 r. </w:t>
      </w:r>
      <w:r w:rsidR="0092221E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- 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Prawo bankowe (Dz. U. z 2019 r. poz. 2357, 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z późn. zm.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31E2724F" w14:textId="22DCCB63" w:rsidR="004E7DCA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4E7DCA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22 maja 2003 r. o ubezpieczeniach obowiązkowych, Ubezpieczeniowym Funduszu Gwarancyjnym i </w:t>
      </w:r>
      <w:r w:rsidR="0092221E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</w:t>
      </w:r>
      <w:r w:rsidR="004E7DCA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olskim </w:t>
      </w:r>
      <w:r w:rsidR="0092221E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B</w:t>
      </w:r>
      <w:r w:rsidR="004E7DCA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iurze Ubezpieczycieli Komunikacyjnych (Dz. U. z 2019 r. poz. 2214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 z późn. zm.</w:t>
      </w:r>
      <w:r w:rsidR="004E7DCA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57480329" w14:textId="26039899" w:rsidR="002F6639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28 lipca 2005 r. o kosztach sądowych w sprawach cywilnych (Dz. U. z  2020 r. poz. 755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 z późn. zm.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00AE1A29" w14:textId="2D1C2789" w:rsidR="002F6639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29 lipca 2005 r. o obrocie instrumentami finansowymi (Dz. U. z 2020 r. poz. 89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 z późn. zm.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322E3757" w14:textId="4F34A6BC" w:rsidR="002F6639" w:rsidRPr="00856303" w:rsidRDefault="002F6639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ustawa z dnia 21 lipca 2006 r. o nadzorze nad rynkiem </w:t>
      </w:r>
      <w:r w:rsidR="0092221E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finansowym</w:t>
      </w: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U. z 2020 r. poz. 180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 z późn. zm.</w:t>
      </w: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320DD109" w14:textId="082E4ED8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16 lutego 2007 r. o ochronie konkurencji i konsumentów 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(Dz. U. z 2020 r. poz. 1076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, z późn. zm.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),</w:t>
      </w:r>
    </w:p>
    <w:p w14:paraId="57190FBC" w14:textId="7AC21EF0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23 sierpnia 2007 r. o przeciwdziałaniu nieuczciwym praktykom rynkowym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(Dz. U. z 2017 r. poz. 2070),</w:t>
      </w:r>
    </w:p>
    <w:p w14:paraId="777D9019" w14:textId="66D4412E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19 sierpnia 2011 r. o usługach płatniczych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2020 r. poz. 794),</w:t>
      </w:r>
    </w:p>
    <w:p w14:paraId="270E0DB6" w14:textId="2A546D86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5 listopada 2009 r. o spółdzielczych kasach oszczędnościowo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–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kredytowych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2019 r. poz. 2412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, z późn. zm.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), </w:t>
      </w:r>
    </w:p>
    <w:p w14:paraId="6130D80E" w14:textId="09585DAB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11 września 2015 r. o działalności ubezpieczeniowej i reasekuracyjnej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20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895, z późn. zm.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),</w:t>
      </w:r>
    </w:p>
    <w:p w14:paraId="29DD823B" w14:textId="261D7C96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9 października 2015 r. o wsparciu kredytobiorców, którzy zaciągnęli kredyt mieszkaniowy i znajdu</w:t>
      </w:r>
      <w:r w:rsidR="0092221E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j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ą się w</w:t>
      </w:r>
      <w:r w:rsidR="0092221E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trudnej sytuacji finansowej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z 2019 r. poz. 1238),</w:t>
      </w:r>
    </w:p>
    <w:p w14:paraId="31D9CF8D" w14:textId="3197E1E9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 z dnia 16 grudnia 2016 r. o zasadach zarządzania mieniem państowym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2020 r.  poz. 735),</w:t>
      </w:r>
    </w:p>
    <w:p w14:paraId="0BFC1DF5" w14:textId="11006776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11 maja 2017 o biegłych rewidentach, firmach audytorskich oraz nadzorze publicznym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2019 r. poz. 1421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, z późn. zm.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),</w:t>
      </w:r>
    </w:p>
    <w:p w14:paraId="6215E94A" w14:textId="0E4060F2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z dnia </w:t>
      </w:r>
      <w:r w:rsidR="00696B36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8 grudnia 2027 r. o Sądzie Najwyższym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(Dz. U. z 2019 r. poz. 825, z 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późn. zm.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),</w:t>
      </w:r>
    </w:p>
    <w:p w14:paraId="082F4652" w14:textId="573DB27B" w:rsidR="00696B36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</w:t>
      </w:r>
      <w:r w:rsidR="00696B36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15 grudnia 2017 r. o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dystrybu</w:t>
      </w:r>
      <w:r w:rsidR="00696B36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cji ubezpieczeń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(Dz. U. z 2019 r. poz. 1881). </w:t>
      </w:r>
    </w:p>
    <w:p w14:paraId="31886569" w14:textId="1CE5F5F7" w:rsidR="00B42857" w:rsidRDefault="00576EB4" w:rsidP="00856303">
      <w:pPr>
        <w:spacing w:before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8. </w:t>
      </w:r>
      <w:r w:rsidR="006F7FC6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Przepisy dostosowujące i przejściowe </w:t>
      </w:r>
    </w:p>
    <w:p w14:paraId="58A7403D" w14:textId="3C6EBCC6" w:rsidR="00B42857" w:rsidRDefault="00B42857" w:rsidP="00B42857">
      <w:pPr>
        <w:pStyle w:val="USTustnpkodeksu"/>
        <w:ind w:firstLine="0"/>
        <w:rPr>
          <w:rFonts w:cs="Times New Roman"/>
          <w:color w:val="000000" w:themeColor="text1"/>
          <w:szCs w:val="24"/>
        </w:rPr>
      </w:pPr>
      <w:r w:rsidRPr="004D232D">
        <w:rPr>
          <w:rFonts w:cs="Times New Roman"/>
          <w:color w:val="000000" w:themeColor="text1"/>
          <w:szCs w:val="24"/>
        </w:rPr>
        <w:t xml:space="preserve">W projekcie </w:t>
      </w:r>
      <w:r w:rsidR="00856303">
        <w:rPr>
          <w:rFonts w:cs="Times New Roman"/>
          <w:color w:val="000000" w:themeColor="text1"/>
          <w:szCs w:val="24"/>
        </w:rPr>
        <w:t xml:space="preserve">zawarto przepisy dostosowawcze, </w:t>
      </w:r>
      <w:r w:rsidRPr="004D232D">
        <w:rPr>
          <w:rFonts w:cs="Times New Roman"/>
          <w:color w:val="000000" w:themeColor="text1"/>
          <w:szCs w:val="24"/>
        </w:rPr>
        <w:t>m.in. znoszące Rzecznika Finansowego i likwidujące jego Biuro)</w:t>
      </w:r>
      <w:r w:rsidR="00856303">
        <w:rPr>
          <w:rFonts w:cs="Times New Roman"/>
          <w:color w:val="000000" w:themeColor="text1"/>
          <w:szCs w:val="24"/>
        </w:rPr>
        <w:t>,</w:t>
      </w:r>
      <w:r w:rsidRPr="004D232D">
        <w:rPr>
          <w:rFonts w:cs="Times New Roman"/>
          <w:color w:val="000000" w:themeColor="text1"/>
          <w:szCs w:val="24"/>
        </w:rPr>
        <w:t xml:space="preserve"> oraz przejściowe regulujące</w:t>
      </w:r>
      <w:r>
        <w:rPr>
          <w:rFonts w:cs="Times New Roman"/>
          <w:color w:val="000000" w:themeColor="text1"/>
          <w:szCs w:val="24"/>
        </w:rPr>
        <w:t>,</w:t>
      </w:r>
      <w:r w:rsidRPr="004D232D">
        <w:rPr>
          <w:rFonts w:cs="Times New Roman"/>
          <w:color w:val="000000" w:themeColor="text1"/>
          <w:szCs w:val="24"/>
        </w:rPr>
        <w:t xml:space="preserve"> m.in. kwestie postępowań w toku</w:t>
      </w:r>
      <w:r w:rsidR="0092221E">
        <w:rPr>
          <w:rFonts w:cs="Times New Roman"/>
          <w:color w:val="000000" w:themeColor="text1"/>
          <w:szCs w:val="24"/>
        </w:rPr>
        <w:t xml:space="preserve"> (art. 63 i art. 70 ust. 1)</w:t>
      </w:r>
      <w:r w:rsidRPr="004D232D">
        <w:rPr>
          <w:rFonts w:cs="Times New Roman"/>
          <w:color w:val="000000" w:themeColor="text1"/>
          <w:szCs w:val="24"/>
        </w:rPr>
        <w:t xml:space="preserve">. Uregulowano także m.in. kwestie przejęcia przez UOKiK mienia i pracowników Biura Rzecznika Finansowego. </w:t>
      </w:r>
      <w:r>
        <w:rPr>
          <w:rFonts w:cs="Times New Roman"/>
          <w:color w:val="000000" w:themeColor="text1"/>
          <w:szCs w:val="24"/>
        </w:rPr>
        <w:t xml:space="preserve"> </w:t>
      </w:r>
    </w:p>
    <w:p w14:paraId="23584EDC" w14:textId="734DB6FB" w:rsidR="00B42857" w:rsidRDefault="00B42857" w:rsidP="00B42857">
      <w:pPr>
        <w:pStyle w:val="USTustnpkodeksu"/>
        <w:ind w:firstLine="0"/>
        <w:rPr>
          <w:rFonts w:cs="Times New Roman"/>
          <w:color w:val="000000" w:themeColor="text1"/>
          <w:szCs w:val="24"/>
        </w:rPr>
      </w:pPr>
      <w:r>
        <w:rPr>
          <w:bCs w:val="0"/>
        </w:rPr>
        <w:t>M</w:t>
      </w:r>
      <w:r>
        <w:t>ienie ruchome oraz dobra niematerialne o charakterze majątkowym, w szczególności prawa autorskie i inne prawa własności intelektualnej służące dotychczas do wyk</w:t>
      </w:r>
      <w:r>
        <w:rPr>
          <w:bCs w:val="0"/>
        </w:rPr>
        <w:t xml:space="preserve">onywania zadań Rzecznika Finansowego zostaną przejęte przez Urząd Ochrony Konkurencji i Konsumentów. </w:t>
      </w:r>
      <w:r>
        <w:t>Rzecznik Finansowy będzie obowiązany do przekazania Prezesowi Urzędu w terminie 30 dni przed dniem wejścia w życie ustawy wykaz</w:t>
      </w:r>
      <w:r w:rsidR="003E6671">
        <w:t>u</w:t>
      </w:r>
      <w:r>
        <w:t xml:space="preserve">  mienia ruchomego oraz dóbr niematerialnych</w:t>
      </w:r>
      <w:r w:rsidR="0092221E">
        <w:t xml:space="preserve"> (art. 61 projektu)</w:t>
      </w:r>
      <w:r>
        <w:t>.</w:t>
      </w:r>
    </w:p>
    <w:p w14:paraId="0DD61A94" w14:textId="2DDBBCFE" w:rsidR="0092221E" w:rsidRDefault="0092221E" w:rsidP="00856303">
      <w:pPr>
        <w:pStyle w:val="USTustnpkodeksu"/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W art. 62 p</w:t>
      </w:r>
      <w:r w:rsidR="00B42857">
        <w:rPr>
          <w:rFonts w:cs="Times New Roman"/>
          <w:color w:val="000000" w:themeColor="text1"/>
          <w:szCs w:val="24"/>
        </w:rPr>
        <w:t>rzewiduje się, że wszelkie zobowiązania i należności Rzecznika Finansowego</w:t>
      </w:r>
      <w:r>
        <w:rPr>
          <w:rFonts w:cs="Times New Roman"/>
          <w:color w:val="000000" w:themeColor="text1"/>
          <w:szCs w:val="24"/>
        </w:rPr>
        <w:t xml:space="preserve"> lub jego Biura</w:t>
      </w:r>
      <w:r w:rsidR="00B42857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staną się wierzytelnościami i zobowiązaniami</w:t>
      </w:r>
      <w:r w:rsidR="00B42857">
        <w:rPr>
          <w:rFonts w:cs="Times New Roman"/>
          <w:color w:val="000000" w:themeColor="text1"/>
          <w:szCs w:val="24"/>
        </w:rPr>
        <w:t xml:space="preserve"> Prezesa Urzędu</w:t>
      </w:r>
      <w:r>
        <w:rPr>
          <w:rFonts w:cs="Times New Roman"/>
          <w:color w:val="000000" w:themeColor="text1"/>
          <w:szCs w:val="24"/>
        </w:rPr>
        <w:t xml:space="preserve"> lub Urzędu</w:t>
      </w:r>
      <w:r w:rsidR="00B42857">
        <w:rPr>
          <w:rFonts w:cs="Times New Roman"/>
          <w:color w:val="000000" w:themeColor="text1"/>
          <w:szCs w:val="24"/>
        </w:rPr>
        <w:t xml:space="preserve">. </w:t>
      </w:r>
      <w:r>
        <w:rPr>
          <w:rFonts w:cs="Times New Roman"/>
          <w:color w:val="000000" w:themeColor="text1"/>
          <w:szCs w:val="24"/>
        </w:rPr>
        <w:t>Analogiczną regulację przewidziano w art. 66 dla praw i obowiązków wynikających z umów i porozumień zawartych przez Rzecznika Finansowego lub jego Biuro.</w:t>
      </w:r>
    </w:p>
    <w:p w14:paraId="69C64C45" w14:textId="77777777" w:rsidR="0092221E" w:rsidRDefault="0092221E" w:rsidP="00856303">
      <w:pPr>
        <w:tabs>
          <w:tab w:val="left" w:pos="5250"/>
        </w:tabs>
        <w:spacing w:before="120" w:after="120" w:line="360" w:lineRule="auto"/>
        <w:jc w:val="both"/>
        <w:rPr>
          <w:rFonts w:cs="Times New Roman"/>
          <w:color w:val="000000" w:themeColor="text1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Zgodnie z 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art. 67 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>projekt</w:t>
      </w:r>
      <w:r>
        <w:rPr>
          <w:rFonts w:ascii="Times" w:hAnsi="Times" w:cs="Times New Roman"/>
          <w:color w:val="000000" w:themeColor="text1"/>
          <w:sz w:val="24"/>
          <w:szCs w:val="24"/>
        </w:rPr>
        <w:t>u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>
        <w:rPr>
          <w:rFonts w:ascii="Times" w:hAnsi="Times" w:cs="Times New Roman"/>
          <w:color w:val="000000" w:themeColor="text1"/>
          <w:sz w:val="24"/>
          <w:szCs w:val="24"/>
        </w:rPr>
        <w:t>należności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z tytułu wpłat wnoszonych przez podmioty rynku finansowego na podstawie art. 20 ust. 1 uchylanej ustawy 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należne a niewpłacone przed dniem wejścia w zycie ustawy 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będą stanowić </w:t>
      </w:r>
      <w:r>
        <w:rPr>
          <w:rFonts w:ascii="Times" w:hAnsi="Times" w:cs="Times New Roman"/>
          <w:color w:val="000000" w:themeColor="text1"/>
          <w:sz w:val="24"/>
          <w:szCs w:val="24"/>
        </w:rPr>
        <w:t>dochód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budżetu państwa. </w:t>
      </w:r>
    </w:p>
    <w:p w14:paraId="0FAE36BA" w14:textId="74FE5625" w:rsidR="00B42857" w:rsidRPr="004D232D" w:rsidRDefault="0092221E" w:rsidP="00856303">
      <w:pPr>
        <w:pStyle w:val="USTustnpkodeksu"/>
        <w:spacing w:before="120" w:after="120"/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W art. 69 </w:t>
      </w:r>
      <w:r>
        <w:t>u</w:t>
      </w:r>
      <w:r w:rsidR="00B42857">
        <w:t>regulowano kwestie powołania Koordynatora do spraw pozasądowego rozwi</w:t>
      </w:r>
      <w:r>
        <w:t>ą</w:t>
      </w:r>
      <w:r w:rsidR="00B42857">
        <w:t>zywania sporów między klientem a podmiotem rynku finansowego, który zostanie powołany w ciągu 2 miesięcy od dnia wejścia w życie ustawy oraz przejęcia przez niego pozasąd</w:t>
      </w:r>
      <w:r>
        <w:t>o</w:t>
      </w:r>
      <w:r w:rsidR="00B42857">
        <w:t>w</w:t>
      </w:r>
      <w:r>
        <w:t>y</w:t>
      </w:r>
      <w:r w:rsidR="00B42857">
        <w:t>ch postepowań w sprawie rozwiązywania sporów prowadzonych i niezakończonych przez Rzecznika Finansowego. Prezes Urzędu jako organ prowadzący, na podstawie ustawy z dnia 23 września 2016 r. o pozasądowym rozwiazywaniu sporów konsumenckich, rejestr podmiotów uprawnionych do prowadzenia postępowania w sprawie pozasądowego rozwiązywania sporów konsumenckich, wykreśli z z rejestru, z dniem wejścia w życie ustawy, Rzecznika Finansowego, a po powołaniu Koordynatora, dokona niezwłocznie jego wpisu</w:t>
      </w:r>
      <w:r>
        <w:t xml:space="preserve"> (art. 68 i art. 69 ust. 2)</w:t>
      </w:r>
      <w:r w:rsidR="00B42857">
        <w:t>.</w:t>
      </w:r>
    </w:p>
    <w:p w14:paraId="350DF900" w14:textId="21CFDC98" w:rsidR="00B42857" w:rsidRDefault="00B42857" w:rsidP="00B42857">
      <w:pPr>
        <w:pStyle w:val="ARTartustawynprozporzdzenia"/>
        <w:ind w:firstLine="0"/>
      </w:pPr>
      <w:r w:rsidRPr="004D232D">
        <w:rPr>
          <w:rFonts w:cs="Times New Roman"/>
          <w:color w:val="000000" w:themeColor="text1"/>
          <w:szCs w:val="24"/>
        </w:rPr>
        <w:t xml:space="preserve">Przepisy przewidują również </w:t>
      </w:r>
      <w:r>
        <w:rPr>
          <w:rFonts w:cs="Times New Roman"/>
          <w:color w:val="000000" w:themeColor="text1"/>
          <w:szCs w:val="24"/>
        </w:rPr>
        <w:t>likwidację</w:t>
      </w:r>
      <w:r w:rsidRPr="004D232D">
        <w:rPr>
          <w:rFonts w:cs="Times New Roman"/>
          <w:color w:val="000000" w:themeColor="text1"/>
          <w:szCs w:val="24"/>
        </w:rPr>
        <w:t xml:space="preserve"> Funduszu Edukacji Finansowej działającego na podstawie obecnych przepisów</w:t>
      </w:r>
      <w:r w:rsidR="0092221E">
        <w:rPr>
          <w:rFonts w:cs="Times New Roman"/>
          <w:color w:val="000000" w:themeColor="text1"/>
          <w:szCs w:val="24"/>
        </w:rPr>
        <w:t xml:space="preserve"> (art. 72 projektu</w:t>
      </w:r>
      <w:r w:rsidR="00C463A8">
        <w:rPr>
          <w:rFonts w:cs="Times New Roman"/>
          <w:color w:val="000000" w:themeColor="text1"/>
          <w:szCs w:val="24"/>
        </w:rPr>
        <w:t>)</w:t>
      </w:r>
      <w:r>
        <w:rPr>
          <w:rFonts w:cs="Times New Roman"/>
          <w:color w:val="000000" w:themeColor="text1"/>
          <w:szCs w:val="24"/>
        </w:rPr>
        <w:t>. Utworzony zostanie</w:t>
      </w:r>
      <w:r w:rsidRPr="004D232D">
        <w:rPr>
          <w:rFonts w:cs="Times New Roman"/>
          <w:color w:val="000000" w:themeColor="text1"/>
          <w:szCs w:val="24"/>
        </w:rPr>
        <w:t xml:space="preserve"> Fundusz</w:t>
      </w:r>
      <w:r>
        <w:rPr>
          <w:rFonts w:cs="Times New Roman"/>
          <w:color w:val="000000" w:themeColor="text1"/>
          <w:szCs w:val="24"/>
        </w:rPr>
        <w:t xml:space="preserve"> Edukacji Finansowej</w:t>
      </w:r>
      <w:r w:rsidRPr="004D232D">
        <w:rPr>
          <w:rFonts w:cs="Times New Roman"/>
          <w:color w:val="000000" w:themeColor="text1"/>
          <w:szCs w:val="24"/>
        </w:rPr>
        <w:t xml:space="preserve">, którego podstawą funkcjonowania będą przepisy rozdziału 6 projektowanej ustawy. </w:t>
      </w:r>
      <w:r>
        <w:t>Środki likwidowanego Funduszu stanowią przychód Funduszu Edukacji Finansowej.</w:t>
      </w:r>
    </w:p>
    <w:p w14:paraId="74163F1A" w14:textId="638C8C64" w:rsidR="00B42857" w:rsidRDefault="00B42857" w:rsidP="00856303">
      <w:pPr>
        <w:pStyle w:val="PKTpunkt"/>
        <w:ind w:left="0" w:firstLine="0"/>
        <w:rPr>
          <w:rStyle w:val="Ppogrubienie"/>
          <w:rFonts w:ascii="Times New Roman" w:eastAsia="Calibri" w:hAnsi="Times New Roman" w:cs="Calibri"/>
          <w:b w:val="0"/>
          <w:bCs w:val="0"/>
          <w:sz w:val="22"/>
          <w:szCs w:val="22"/>
          <w:lang w:eastAsia="en-US"/>
        </w:rPr>
      </w:pPr>
      <w:r>
        <w:t>Projekt przewiduje niezwłoczne</w:t>
      </w:r>
      <w:r w:rsidR="003E6671">
        <w:t xml:space="preserve"> </w:t>
      </w:r>
      <w:r>
        <w:t>rozwiązanie lokat środków likwidowanego Funduszu</w:t>
      </w:r>
      <w:r>
        <w:rPr>
          <w:bCs w:val="0"/>
        </w:rPr>
        <w:t xml:space="preserve"> oraz przekazanie tych środków do Funduszu Edukacji Finansowej.</w:t>
      </w:r>
    </w:p>
    <w:p w14:paraId="147FBAF0" w14:textId="79024DD5" w:rsidR="00B42857" w:rsidRDefault="00C463A8" w:rsidP="00B42857">
      <w:pPr>
        <w:pStyle w:val="ARTartustawynprozporzdzenia"/>
        <w:ind w:firstLine="0"/>
      </w:pPr>
      <w:r>
        <w:t>Na podstawie art. 74 d</w:t>
      </w:r>
      <w:r w:rsidR="00B42857">
        <w:t>o dnia 1 grudnia 2020 r. Rzecznik Finansowy przeka</w:t>
      </w:r>
      <w:r w:rsidR="003E6671">
        <w:t>że</w:t>
      </w:r>
      <w:r w:rsidR="00B42857">
        <w:t xml:space="preserve"> Prezesowi Urzędu  informacje i dokumenty niezbędne do dysponowania środkami Funduszu Edukacji Finansowej, w szczególności dane dotyczące rachunków bankowych, na których były gromadzone środki likwidowanego Funduszu oraz ewidencję księgową operacji związanych z funkcjonowaniem likwidowanego Funduszu.</w:t>
      </w:r>
    </w:p>
    <w:p w14:paraId="033351A6" w14:textId="77777777" w:rsidR="00B42857" w:rsidRDefault="00B42857" w:rsidP="00B42857">
      <w:pPr>
        <w:pStyle w:val="ARTartustawynprozporzdzenia"/>
        <w:ind w:firstLine="0"/>
      </w:pPr>
      <w:r>
        <w:t>Należności i zobowiązania likwidowanego Funduszu stają się odpowiednio należnościami i zobowiązaniami Funduszu Edukacji Finansowej.</w:t>
      </w:r>
    </w:p>
    <w:p w14:paraId="62CFF337" w14:textId="398EF7E2" w:rsidR="00B42857" w:rsidRDefault="00B42857" w:rsidP="00856303">
      <w:pPr>
        <w:tabs>
          <w:tab w:val="left" w:pos="5250"/>
        </w:tabs>
        <w:spacing w:before="120" w:after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t>W celu zapewnienia skuteczności i ciągłości  działania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Rady Edukacji Finansowej, w projekcie zawarto regulację</w:t>
      </w:r>
      <w:r w:rsidR="00C463A8">
        <w:rPr>
          <w:rFonts w:ascii="Times" w:hAnsi="Times" w:cs="Times New Roman"/>
          <w:color w:val="000000" w:themeColor="text1"/>
          <w:sz w:val="24"/>
          <w:szCs w:val="24"/>
        </w:rPr>
        <w:t xml:space="preserve"> art. 78</w:t>
      </w:r>
      <w:r>
        <w:rPr>
          <w:rFonts w:ascii="Times" w:hAnsi="Times" w:cs="Times New Roman"/>
          <w:color w:val="000000" w:themeColor="text1"/>
          <w:sz w:val="24"/>
          <w:szCs w:val="24"/>
        </w:rPr>
        <w:t>,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zgodnie z którą członkowie REF </w:t>
      </w:r>
      <w:r>
        <w:rPr>
          <w:rFonts w:ascii="Times" w:hAnsi="Times" w:cs="Times New Roman"/>
          <w:color w:val="000000" w:themeColor="text1"/>
          <w:sz w:val="24"/>
          <w:szCs w:val="24"/>
        </w:rPr>
        <w:t>(z wyłączeniem przedstawiciela likwidowanego R</w:t>
      </w:r>
      <w:r w:rsidR="003E6671">
        <w:rPr>
          <w:rFonts w:ascii="Times" w:hAnsi="Times" w:cs="Times New Roman"/>
          <w:color w:val="000000" w:themeColor="text1"/>
          <w:sz w:val="24"/>
          <w:szCs w:val="24"/>
        </w:rPr>
        <w:t xml:space="preserve">zecznika </w:t>
      </w:r>
      <w:r>
        <w:rPr>
          <w:rFonts w:ascii="Times" w:hAnsi="Times" w:cs="Times New Roman"/>
          <w:color w:val="000000" w:themeColor="text1"/>
          <w:sz w:val="24"/>
          <w:szCs w:val="24"/>
        </w:rPr>
        <w:t>F</w:t>
      </w:r>
      <w:r w:rsidR="003E6671">
        <w:rPr>
          <w:rFonts w:ascii="Times" w:hAnsi="Times" w:cs="Times New Roman"/>
          <w:color w:val="000000" w:themeColor="text1"/>
          <w:sz w:val="24"/>
          <w:szCs w:val="24"/>
        </w:rPr>
        <w:t>inansowego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) 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>pełniący swoje obowiązki w dniu poprzedzającym wejście w życie ustawy, stają się z mocy prawa członkami REF z dniem wejścia w życie projektowanej ustawy.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Analogiczną regulację zaproponowano w odniesieniu do osoby pełniącej obecnie funkcję przewodniczącego Rady Edukacji Finansowej.</w:t>
      </w:r>
    </w:p>
    <w:p w14:paraId="01280AB4" w14:textId="4BBC33F2" w:rsidR="0092221E" w:rsidRPr="004D232D" w:rsidRDefault="0092221E" w:rsidP="00856303">
      <w:pPr>
        <w:pStyle w:val="USTustnpkodeksu"/>
        <w:spacing w:before="120" w:after="120"/>
        <w:ind w:firstLine="0"/>
        <w:rPr>
          <w:rFonts w:cs="Times New Roman"/>
          <w:color w:val="000000" w:themeColor="text1"/>
          <w:szCs w:val="24"/>
        </w:rPr>
      </w:pPr>
      <w:r w:rsidRPr="0078331E">
        <w:t xml:space="preserve">Pracownicy </w:t>
      </w:r>
      <w:r>
        <w:t>Biura Rzecznika Finansowego</w:t>
      </w:r>
      <w:r w:rsidRPr="0078331E">
        <w:t xml:space="preserve"> </w:t>
      </w:r>
      <w:r>
        <w:t>z</w:t>
      </w:r>
      <w:r w:rsidRPr="0078331E">
        <w:t xml:space="preserve"> </w:t>
      </w:r>
      <w:r>
        <w:t>dniem wejścia w życie</w:t>
      </w:r>
      <w:r w:rsidRPr="0078331E">
        <w:t xml:space="preserve"> ustawy sta</w:t>
      </w:r>
      <w:r w:rsidR="00C463A8">
        <w:t>ną</w:t>
      </w:r>
      <w:r w:rsidRPr="0078331E">
        <w:t xml:space="preserve"> się pracownikami</w:t>
      </w:r>
      <w:r>
        <w:t xml:space="preserve"> UOKiK</w:t>
      </w:r>
      <w:r w:rsidR="00C463A8">
        <w:t xml:space="preserve"> (art. 79)</w:t>
      </w:r>
      <w:r w:rsidRPr="0078331E">
        <w:t>.</w:t>
      </w:r>
      <w:r>
        <w:t xml:space="preserve"> </w:t>
      </w:r>
      <w:r>
        <w:rPr>
          <w:rFonts w:ascii="Times New Roman" w:hAnsi="Times New Roman"/>
        </w:rPr>
        <w:t>Mając jednak na względzie zasady gospodarności i celowości wydatkowania środków publicznych niezbędne będzie przeprowadzenie analizy dotychczasowej struktury zatrudnienia w BRF pod kątem nakładających się na siebie zadań pracowników obydwu instytucji</w:t>
      </w:r>
      <w:r>
        <w:t xml:space="preserve">, w związku z czym stosunki pracy z pracownikami Biura Rzecznika Finansowego zostaną poddane weryfikacji i </w:t>
      </w:r>
      <w:r w:rsidRPr="006F7AFE">
        <w:t xml:space="preserve"> jeżeli przed upływem 2 miesięcy od dnia wejścia w życie ustawy nie zostaną im zaproponowane nowe warunki pracy i płacy albo w razie nieprzyjęcia nowych warunków pracy i płacy</w:t>
      </w:r>
      <w:r w:rsidRPr="00C04797">
        <w:t xml:space="preserve"> </w:t>
      </w:r>
      <w:r>
        <w:t xml:space="preserve">wówczas umowy </w:t>
      </w:r>
      <w:r w:rsidRPr="006F7AFE">
        <w:t>wygas</w:t>
      </w:r>
      <w:r>
        <w:t>ną</w:t>
      </w:r>
      <w:r w:rsidRPr="006F7AFE">
        <w:t xml:space="preserve"> po upływie 3 miesięcy od dnia wejścia w życie ustawy.</w:t>
      </w:r>
    </w:p>
    <w:p w14:paraId="782F4319" w14:textId="701A8343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t>Projekt zakłada, że sprawozdanie z działalności Rzecznika Finansowego za 2020 r. złoży Prezes U</w:t>
      </w:r>
      <w:r w:rsidR="00C463A8">
        <w:rPr>
          <w:rFonts w:ascii="Times" w:hAnsi="Times" w:cs="Times New Roman"/>
          <w:color w:val="000000" w:themeColor="text1"/>
          <w:sz w:val="24"/>
          <w:szCs w:val="24"/>
        </w:rPr>
        <w:t>rzędu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na podstawie informacji przygotowanych przez RF w określonym w ustawie terminie.</w:t>
      </w:r>
    </w:p>
    <w:p w14:paraId="482E20A0" w14:textId="77777777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W art. 81 – 83  projektu przewiduje się, że przepisy wykonawcze dotyczące:</w:t>
      </w:r>
    </w:p>
    <w:p w14:paraId="2CA679F6" w14:textId="77777777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- terminów</w:t>
      </w:r>
      <w:r w:rsidRPr="00736C16">
        <w:rPr>
          <w:rFonts w:ascii="Times" w:hAnsi="Times" w:cs="Times New Roman"/>
          <w:color w:val="000000" w:themeColor="text1"/>
          <w:sz w:val="24"/>
          <w:szCs w:val="24"/>
        </w:rPr>
        <w:t xml:space="preserve"> uiszczania, wysokość i sposób obliczania należności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należności ponoszonych przez podmioty rynku finansowego jako koszty </w:t>
      </w:r>
      <w:r w:rsidRPr="00736C16">
        <w:rPr>
          <w:rFonts w:ascii="Times" w:hAnsi="Times" w:cs="Times New Roman"/>
          <w:color w:val="000000" w:themeColor="text1"/>
          <w:sz w:val="24"/>
          <w:szCs w:val="24"/>
        </w:rPr>
        <w:t>funkcjonowania systemu ochrony klientów podmiotów rynku finansowego</w:t>
      </w:r>
      <w:r>
        <w:rPr>
          <w:rFonts w:ascii="Times" w:hAnsi="Times" w:cs="Times New Roman"/>
          <w:color w:val="000000" w:themeColor="text1"/>
          <w:sz w:val="24"/>
          <w:szCs w:val="24"/>
        </w:rPr>
        <w:t>,</w:t>
      </w:r>
    </w:p>
    <w:p w14:paraId="09A1920F" w14:textId="77777777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- sposobu</w:t>
      </w:r>
      <w:r w:rsidRPr="00845EB2">
        <w:rPr>
          <w:rFonts w:ascii="Times" w:hAnsi="Times" w:cs="Times New Roman"/>
          <w:color w:val="000000" w:themeColor="text1"/>
          <w:sz w:val="24"/>
          <w:szCs w:val="24"/>
        </w:rPr>
        <w:t xml:space="preserve"> i formy prowadzenia </w:t>
      </w:r>
      <w:r>
        <w:rPr>
          <w:rFonts w:ascii="Times" w:hAnsi="Times" w:cs="Times New Roman"/>
          <w:color w:val="000000" w:themeColor="text1"/>
          <w:sz w:val="24"/>
          <w:szCs w:val="24"/>
        </w:rPr>
        <w:t>postępowań w sprawach</w:t>
      </w:r>
      <w:r w:rsidRPr="00845EB2">
        <w:rPr>
          <w:rFonts w:ascii="Times" w:hAnsi="Times" w:cs="Times New Roman"/>
          <w:color w:val="000000" w:themeColor="text1"/>
          <w:sz w:val="24"/>
          <w:szCs w:val="24"/>
        </w:rPr>
        <w:t xml:space="preserve"> rozwiązywania sporów między klientem a podmiotem rynku finansowego</w:t>
      </w:r>
      <w:r>
        <w:rPr>
          <w:rFonts w:ascii="Times" w:hAnsi="Times" w:cs="Times New Roman"/>
          <w:color w:val="000000" w:themeColor="text1"/>
          <w:sz w:val="24"/>
          <w:szCs w:val="24"/>
        </w:rPr>
        <w:t>, a także innych kwestii proceduralnych związanych z prowadzeniem ww. postępowań (dotychczasowe przepisy wykonawcze wydane na podstawie art. 43 uchylanej ustawy o Rzeczniku Finansowym),</w:t>
      </w:r>
    </w:p>
    <w:p w14:paraId="166D0C10" w14:textId="77777777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- regulaminu pracy REF,</w:t>
      </w:r>
    </w:p>
    <w:p w14:paraId="707487A5" w14:textId="308FF9BF" w:rsidR="00B42857" w:rsidRPr="00ED223B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ED223B">
        <w:rPr>
          <w:rFonts w:ascii="Times" w:hAnsi="Times" w:cs="Times New Roman"/>
          <w:color w:val="000000" w:themeColor="text1"/>
          <w:sz w:val="24"/>
          <w:szCs w:val="24"/>
        </w:rPr>
        <w:t xml:space="preserve">zachowują moc do dnia wejścia w życie przepisów wykonawczych wydanych na 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nowej podstawie podstawie </w:t>
      </w:r>
      <w:r w:rsidRPr="00ED223B">
        <w:rPr>
          <w:rFonts w:ascii="Times" w:hAnsi="Times" w:cs="Times New Roman"/>
          <w:color w:val="000000" w:themeColor="text1"/>
          <w:sz w:val="24"/>
          <w:szCs w:val="24"/>
        </w:rPr>
        <w:t xml:space="preserve"> nie dłużej jednak niż do dnia 30 czerwca 2021 r</w:t>
      </w:r>
      <w:r>
        <w:rPr>
          <w:rFonts w:ascii="Times" w:hAnsi="Times" w:cs="Times New Roman"/>
          <w:color w:val="000000" w:themeColor="text1"/>
          <w:sz w:val="24"/>
          <w:szCs w:val="24"/>
        </w:rPr>
        <w:t>.</w:t>
      </w:r>
    </w:p>
    <w:p w14:paraId="4184A9DF" w14:textId="77777777" w:rsidR="00B42857" w:rsidRPr="00FD5394" w:rsidRDefault="00B42857" w:rsidP="00B4285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94">
        <w:rPr>
          <w:rFonts w:ascii="Times New Roman" w:hAnsi="Times New Roman" w:cs="Times New Roman"/>
          <w:sz w:val="24"/>
          <w:szCs w:val="24"/>
        </w:rPr>
        <w:t>Przepi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5394">
        <w:rPr>
          <w:rFonts w:ascii="Times New Roman" w:hAnsi="Times New Roman" w:cs="Times New Roman"/>
          <w:sz w:val="24"/>
          <w:szCs w:val="24"/>
        </w:rPr>
        <w:t xml:space="preserve"> zawarty w art.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FD5394">
        <w:rPr>
          <w:rFonts w:ascii="Times New Roman" w:hAnsi="Times New Roman" w:cs="Times New Roman"/>
          <w:sz w:val="24"/>
          <w:szCs w:val="24"/>
        </w:rPr>
        <w:t xml:space="preserve"> projektu ustawy określa maksymalny limit wydatków budżetowych będący skutkiem ustawy, mechanizm korygujący mogący mieć zastosowanie w przypadku przekroczenia lub zagrożenia przekroczenia przy</w:t>
      </w:r>
      <w:r>
        <w:rPr>
          <w:rFonts w:ascii="Times New Roman" w:hAnsi="Times New Roman" w:cs="Times New Roman"/>
          <w:sz w:val="24"/>
          <w:szCs w:val="24"/>
        </w:rPr>
        <w:t>jętego limitu wydatków, a także</w:t>
      </w:r>
      <w:r w:rsidRPr="00FD5394">
        <w:rPr>
          <w:rFonts w:ascii="Times New Roman" w:hAnsi="Times New Roman" w:cs="Times New Roman"/>
          <w:sz w:val="24"/>
          <w:szCs w:val="24"/>
        </w:rPr>
        <w:t xml:space="preserve">  właściwy w tych sprawach organ, zgodnie z art. 50 ust. 1a, 4 i 5</w:t>
      </w:r>
      <w:r>
        <w:rPr>
          <w:rFonts w:ascii="Times New Roman" w:hAnsi="Times New Roman" w:cs="Times New Roman"/>
          <w:sz w:val="24"/>
          <w:szCs w:val="24"/>
        </w:rPr>
        <w:t xml:space="preserve"> ustawy o finansach publicznych.</w:t>
      </w:r>
      <w:r w:rsidRPr="00FD5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6638C" w14:textId="2E37FF1D" w:rsidR="008474C8" w:rsidRPr="004D232D" w:rsidRDefault="008474C8" w:rsidP="00856303">
      <w:pPr>
        <w:pStyle w:val="ARTartustawynprozporzdzenia"/>
        <w:ind w:firstLine="0"/>
      </w:pPr>
      <w:r>
        <w:rPr>
          <w:rFonts w:cs="Times New Roman"/>
          <w:color w:val="000000" w:themeColor="text1"/>
          <w:szCs w:val="24"/>
        </w:rPr>
        <w:t>Przewiduje się, że ustawa wejdzie w życie z dniem 1 stycznia 2021 r.,</w:t>
      </w:r>
      <w:r w:rsidR="00BC7B6B">
        <w:rPr>
          <w:rFonts w:cs="Times New Roman"/>
          <w:color w:val="000000" w:themeColor="text1"/>
          <w:szCs w:val="24"/>
        </w:rPr>
        <w:t xml:space="preserve"> z wyjątkiem </w:t>
      </w:r>
      <w:r>
        <w:rPr>
          <w:rFonts w:cs="Times New Roman"/>
          <w:color w:val="000000" w:themeColor="text1"/>
          <w:szCs w:val="24"/>
        </w:rPr>
        <w:t xml:space="preserve"> </w:t>
      </w:r>
      <w:r w:rsidR="00BC7B6B" w:rsidRPr="00BC7B6B">
        <w:rPr>
          <w:rFonts w:cs="Times New Roman"/>
          <w:color w:val="000000" w:themeColor="text1"/>
          <w:szCs w:val="24"/>
        </w:rPr>
        <w:t>art. 61 ust. 2, art. 62 ust. 2, art. 65, art. 66 ust. 2, art. 7</w:t>
      </w:r>
      <w:r w:rsidR="00C463A8">
        <w:rPr>
          <w:rFonts w:cs="Times New Roman"/>
          <w:color w:val="000000" w:themeColor="text1"/>
          <w:szCs w:val="24"/>
        </w:rPr>
        <w:t>4</w:t>
      </w:r>
      <w:r w:rsidR="00BC7B6B" w:rsidRPr="00BC7B6B">
        <w:rPr>
          <w:rFonts w:cs="Times New Roman"/>
          <w:color w:val="000000" w:themeColor="text1"/>
          <w:szCs w:val="24"/>
        </w:rPr>
        <w:t>, art. 7</w:t>
      </w:r>
      <w:r w:rsidR="00C463A8">
        <w:rPr>
          <w:rFonts w:cs="Times New Roman"/>
          <w:color w:val="000000" w:themeColor="text1"/>
          <w:szCs w:val="24"/>
        </w:rPr>
        <w:t>6</w:t>
      </w:r>
      <w:r w:rsidR="00BC7B6B" w:rsidRPr="00BC7B6B">
        <w:rPr>
          <w:rFonts w:cs="Times New Roman"/>
          <w:color w:val="000000" w:themeColor="text1"/>
          <w:szCs w:val="24"/>
        </w:rPr>
        <w:t xml:space="preserve"> ust. 2, art. 7</w:t>
      </w:r>
      <w:r w:rsidR="00C463A8">
        <w:rPr>
          <w:rFonts w:cs="Times New Roman"/>
          <w:color w:val="000000" w:themeColor="text1"/>
          <w:szCs w:val="24"/>
        </w:rPr>
        <w:t>7</w:t>
      </w:r>
      <w:r w:rsidR="00BC7B6B" w:rsidRPr="00BC7B6B">
        <w:rPr>
          <w:rFonts w:cs="Times New Roman"/>
          <w:color w:val="000000" w:themeColor="text1"/>
          <w:szCs w:val="24"/>
        </w:rPr>
        <w:t xml:space="preserve"> ust. 2, art. 80 ust. 2, które w</w:t>
      </w:r>
      <w:r w:rsidR="00C463A8">
        <w:rPr>
          <w:rFonts w:cs="Times New Roman"/>
          <w:color w:val="000000" w:themeColor="text1"/>
          <w:szCs w:val="24"/>
        </w:rPr>
        <w:t>ejdą</w:t>
      </w:r>
      <w:r w:rsidR="00BC7B6B" w:rsidRPr="00BC7B6B">
        <w:rPr>
          <w:rFonts w:cs="Times New Roman"/>
          <w:color w:val="000000" w:themeColor="text1"/>
          <w:szCs w:val="24"/>
        </w:rPr>
        <w:t xml:space="preserve"> w życie z dniem następującym po dniu ogłoszenia</w:t>
      </w:r>
      <w:r w:rsidR="00BC7B6B">
        <w:rPr>
          <w:rFonts w:cs="Times New Roman"/>
          <w:color w:val="000000" w:themeColor="text1"/>
          <w:szCs w:val="24"/>
        </w:rPr>
        <w:t xml:space="preserve">, </w:t>
      </w:r>
      <w:r w:rsidR="00BC7B6B" w:rsidRPr="00BC7B6B">
        <w:rPr>
          <w:rFonts w:cs="Times New Roman"/>
          <w:color w:val="000000" w:themeColor="text1"/>
          <w:szCs w:val="24"/>
        </w:rPr>
        <w:t>art. 79 ust. 1, który w</w:t>
      </w:r>
      <w:r w:rsidR="00C463A8">
        <w:rPr>
          <w:rFonts w:cs="Times New Roman"/>
          <w:color w:val="000000" w:themeColor="text1"/>
          <w:szCs w:val="24"/>
        </w:rPr>
        <w:t>ejdzie</w:t>
      </w:r>
      <w:r w:rsidR="00BC7B6B" w:rsidRPr="00BC7B6B">
        <w:rPr>
          <w:rFonts w:cs="Times New Roman"/>
          <w:color w:val="000000" w:themeColor="text1"/>
          <w:szCs w:val="24"/>
        </w:rPr>
        <w:t xml:space="preserve"> w życie z dniem 16 listopada 2020 r.</w:t>
      </w:r>
      <w:r w:rsidR="00C463A8">
        <w:rPr>
          <w:rFonts w:cs="Times New Roman"/>
          <w:color w:val="000000" w:themeColor="text1"/>
          <w:szCs w:val="24"/>
        </w:rPr>
        <w:t>,</w:t>
      </w:r>
      <w:r w:rsidR="00BC7B6B">
        <w:rPr>
          <w:rFonts w:cs="Times New Roman"/>
          <w:color w:val="000000" w:themeColor="text1"/>
          <w:szCs w:val="24"/>
        </w:rPr>
        <w:t xml:space="preserve"> oraz </w:t>
      </w:r>
      <w:r w:rsidR="00BC7B6B" w:rsidRPr="003424AD">
        <w:rPr>
          <w:rStyle w:val="Ppogrubienie"/>
          <w:b w:val="0"/>
        </w:rPr>
        <w:t>art. 59, art. 60 i art. 7</w:t>
      </w:r>
      <w:r w:rsidR="00C463A8">
        <w:rPr>
          <w:rStyle w:val="Ppogrubienie"/>
          <w:b w:val="0"/>
        </w:rPr>
        <w:t>2</w:t>
      </w:r>
      <w:r w:rsidR="00BC7B6B" w:rsidRPr="003424AD">
        <w:rPr>
          <w:rStyle w:val="Ppogrubienie"/>
          <w:b w:val="0"/>
        </w:rPr>
        <w:t>, które w</w:t>
      </w:r>
      <w:r w:rsidR="00C463A8">
        <w:rPr>
          <w:rStyle w:val="Ppogrubienie"/>
          <w:b w:val="0"/>
        </w:rPr>
        <w:t>ejdą</w:t>
      </w:r>
      <w:r w:rsidR="00BC7B6B" w:rsidRPr="003424AD">
        <w:rPr>
          <w:rStyle w:val="Ppogrubienie"/>
          <w:b w:val="0"/>
        </w:rPr>
        <w:t xml:space="preserve"> w życie z dniem 31 gru</w:t>
      </w:r>
      <w:r w:rsidR="00BC7B6B" w:rsidRPr="00D8642B">
        <w:rPr>
          <w:rStyle w:val="Ppogrubienie"/>
          <w:b w:val="0"/>
        </w:rPr>
        <w:t>dnia 2020 r.</w:t>
      </w:r>
      <w:r w:rsidR="00BC7B6B">
        <w:rPr>
          <w:rStyle w:val="Ppogrubienie"/>
          <w:b w:val="0"/>
        </w:rPr>
        <w:t xml:space="preserve"> </w:t>
      </w:r>
      <w:r>
        <w:t xml:space="preserve">Określenie wcześniejszego terminu wejścia w </w:t>
      </w:r>
      <w:r w:rsidR="006C3713">
        <w:t>ż</w:t>
      </w:r>
      <w:r>
        <w:t>ycie ww. przepisów wynika z ich specyfiki. Są to regulacje o charakterze dostosowawczym, ich celem jest wprowadzenie zmian przygotowawczych o charakterze organizacyjno-prawnym</w:t>
      </w:r>
      <w:r w:rsidR="00E90FD1">
        <w:t>,</w:t>
      </w:r>
      <w:r>
        <w:t xml:space="preserve"> na etapie przed datą wejścia w życie przepisów merytorycznych ustawy, pozwalających na efektywne funkcjonowanie nowej regulacji od dnia 1 stycznia 2021 r.</w:t>
      </w:r>
    </w:p>
    <w:p w14:paraId="72F5A4BC" w14:textId="77777777" w:rsidR="00013FA3" w:rsidRPr="004D232D" w:rsidRDefault="00013FA3" w:rsidP="00976D32">
      <w:pPr>
        <w:tabs>
          <w:tab w:val="left" w:pos="5250"/>
        </w:tabs>
        <w:spacing w:before="120" w:line="360" w:lineRule="auto"/>
        <w:jc w:val="both"/>
        <w:rPr>
          <w:rFonts w:ascii="Times" w:eastAsiaTheme="minorHAnsi" w:hAnsi="Times" w:cs="Times New Roman"/>
          <w:color w:val="000000" w:themeColor="text1"/>
          <w:spacing w:val="-2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t>Projekt jest zg</w:t>
      </w:r>
      <w:r w:rsidR="00696B36" w:rsidRPr="004D232D">
        <w:rPr>
          <w:rFonts w:ascii="Times" w:hAnsi="Times" w:cs="Times New Roman"/>
          <w:color w:val="000000" w:themeColor="text1"/>
          <w:sz w:val="24"/>
          <w:szCs w:val="24"/>
        </w:rPr>
        <w:t>odny z prawem Unii Europejskiej</w:t>
      </w:r>
    </w:p>
    <w:p w14:paraId="54BDA6F3" w14:textId="3542D826" w:rsidR="00013FA3" w:rsidRPr="004D232D" w:rsidRDefault="00013FA3" w:rsidP="00976D32">
      <w:pPr>
        <w:pStyle w:val="ARTartustawynprozporzdzenia"/>
        <w:ind w:firstLine="0"/>
        <w:rPr>
          <w:rFonts w:cs="Times New Roman"/>
          <w:color w:val="000000" w:themeColor="text1"/>
          <w:spacing w:val="-2"/>
          <w:szCs w:val="24"/>
        </w:rPr>
      </w:pPr>
      <w:r w:rsidRPr="004D232D">
        <w:rPr>
          <w:rFonts w:cs="Times New Roman"/>
          <w:color w:val="000000" w:themeColor="text1"/>
          <w:szCs w:val="24"/>
        </w:rPr>
        <w:t>Projekt nie zawiera przepisów technicznych w rozumieniu przepisów rozporządzenia Rady Ministrów z dnia 23 grudnia 2002 r. w sprawie sposobu funkcjonowania krajowego systemu notyfikacji norm i aktów prawnych (Dz. U. 2002 r. z poz. 2039</w:t>
      </w:r>
      <w:r w:rsidR="00AC4F82">
        <w:rPr>
          <w:rFonts w:cs="Times New Roman"/>
          <w:color w:val="000000" w:themeColor="text1"/>
          <w:szCs w:val="24"/>
        </w:rPr>
        <w:t>, z późn. zm.</w:t>
      </w:r>
      <w:r w:rsidRPr="004D232D">
        <w:rPr>
          <w:rFonts w:cs="Times New Roman"/>
          <w:color w:val="000000" w:themeColor="text1"/>
          <w:szCs w:val="24"/>
        </w:rPr>
        <w:t>) i nie podlega notyfikacji.</w:t>
      </w:r>
    </w:p>
    <w:p w14:paraId="31A9E466" w14:textId="6F55FDFA" w:rsidR="005202B4" w:rsidRPr="004D232D" w:rsidRDefault="00013FA3" w:rsidP="00976D32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t>Projekt nie podlega również przedstawieniu właściwym organom i instytucjom Unii Europejskiej, w tym Europejskiemu Bankowi Centralnemu, w celu uzyskania opinii, dokonania powiadomienia, konsultacji albo uzgodnieni</w:t>
      </w:r>
      <w:r w:rsidR="004D09BF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a</w:t>
      </w:r>
      <w:r w:rsidR="003E6671"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</w:p>
    <w:sectPr w:rsidR="005202B4" w:rsidRPr="004D23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2C932" w14:textId="77777777" w:rsidR="001611CE" w:rsidRDefault="001611CE" w:rsidP="005202B4">
      <w:pPr>
        <w:spacing w:line="240" w:lineRule="auto"/>
      </w:pPr>
      <w:r>
        <w:separator/>
      </w:r>
    </w:p>
  </w:endnote>
  <w:endnote w:type="continuationSeparator" w:id="0">
    <w:p w14:paraId="373D2793" w14:textId="77777777" w:rsidR="001611CE" w:rsidRDefault="001611CE" w:rsidP="0052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82424"/>
      <w:docPartObj>
        <w:docPartGallery w:val="Page Numbers (Bottom of Page)"/>
        <w:docPartUnique/>
      </w:docPartObj>
    </w:sdtPr>
    <w:sdtEndPr/>
    <w:sdtContent>
      <w:p w14:paraId="41F67832" w14:textId="77777777" w:rsidR="0084009B" w:rsidRDefault="0084009B">
        <w:pPr>
          <w:pStyle w:val="Stopka"/>
          <w:jc w:val="center"/>
        </w:pPr>
        <w:r w:rsidRPr="00917F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F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F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5B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17F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6DEF8E" w14:textId="77777777" w:rsidR="0084009B" w:rsidRDefault="00840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B65E4" w14:textId="77777777" w:rsidR="001611CE" w:rsidRDefault="001611CE" w:rsidP="005202B4">
      <w:pPr>
        <w:spacing w:line="240" w:lineRule="auto"/>
      </w:pPr>
      <w:r>
        <w:separator/>
      </w:r>
    </w:p>
  </w:footnote>
  <w:footnote w:type="continuationSeparator" w:id="0">
    <w:p w14:paraId="62AE15B6" w14:textId="77777777" w:rsidR="001611CE" w:rsidRDefault="001611CE" w:rsidP="005202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2F6D"/>
    <w:multiLevelType w:val="multilevel"/>
    <w:tmpl w:val="413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627B23"/>
    <w:multiLevelType w:val="hybridMultilevel"/>
    <w:tmpl w:val="9A8A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A4DDC"/>
    <w:multiLevelType w:val="hybridMultilevel"/>
    <w:tmpl w:val="60867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C05CB"/>
    <w:multiLevelType w:val="hybridMultilevel"/>
    <w:tmpl w:val="DBC47B84"/>
    <w:lvl w:ilvl="0" w:tplc="822EAFD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8"/>
    <w:rsid w:val="000037AC"/>
    <w:rsid w:val="00013FA3"/>
    <w:rsid w:val="0001550E"/>
    <w:rsid w:val="000B05F8"/>
    <w:rsid w:val="000B25F4"/>
    <w:rsid w:val="000B2A39"/>
    <w:rsid w:val="000C2E36"/>
    <w:rsid w:val="0010073F"/>
    <w:rsid w:val="00100AC5"/>
    <w:rsid w:val="00100FB8"/>
    <w:rsid w:val="001042B8"/>
    <w:rsid w:val="001333F0"/>
    <w:rsid w:val="00140853"/>
    <w:rsid w:val="001611CE"/>
    <w:rsid w:val="001B3E3E"/>
    <w:rsid w:val="001B72FA"/>
    <w:rsid w:val="001C25C4"/>
    <w:rsid w:val="002057E8"/>
    <w:rsid w:val="0024112D"/>
    <w:rsid w:val="00241B04"/>
    <w:rsid w:val="00263FB5"/>
    <w:rsid w:val="00287E5B"/>
    <w:rsid w:val="002B1972"/>
    <w:rsid w:val="002B566C"/>
    <w:rsid w:val="002B72C2"/>
    <w:rsid w:val="002C1BD5"/>
    <w:rsid w:val="002C1E36"/>
    <w:rsid w:val="002C578F"/>
    <w:rsid w:val="002F0C99"/>
    <w:rsid w:val="002F4960"/>
    <w:rsid w:val="002F6639"/>
    <w:rsid w:val="002F7A1F"/>
    <w:rsid w:val="00335ED5"/>
    <w:rsid w:val="003424AD"/>
    <w:rsid w:val="003436F9"/>
    <w:rsid w:val="00374708"/>
    <w:rsid w:val="003C47C9"/>
    <w:rsid w:val="003E6671"/>
    <w:rsid w:val="0042454F"/>
    <w:rsid w:val="00426857"/>
    <w:rsid w:val="004417B5"/>
    <w:rsid w:val="00445C94"/>
    <w:rsid w:val="00460FF0"/>
    <w:rsid w:val="00473E68"/>
    <w:rsid w:val="00474234"/>
    <w:rsid w:val="004830F1"/>
    <w:rsid w:val="00485772"/>
    <w:rsid w:val="004B6FEC"/>
    <w:rsid w:val="004C7370"/>
    <w:rsid w:val="004D09BF"/>
    <w:rsid w:val="004D232D"/>
    <w:rsid w:val="004E7DCA"/>
    <w:rsid w:val="004F3E36"/>
    <w:rsid w:val="00500D85"/>
    <w:rsid w:val="00510077"/>
    <w:rsid w:val="0051346F"/>
    <w:rsid w:val="005202B4"/>
    <w:rsid w:val="005243FD"/>
    <w:rsid w:val="00526638"/>
    <w:rsid w:val="00561858"/>
    <w:rsid w:val="00562F21"/>
    <w:rsid w:val="005733BF"/>
    <w:rsid w:val="00576EB4"/>
    <w:rsid w:val="00582775"/>
    <w:rsid w:val="00583811"/>
    <w:rsid w:val="00584059"/>
    <w:rsid w:val="005A7FAB"/>
    <w:rsid w:val="005D1192"/>
    <w:rsid w:val="005D6FC6"/>
    <w:rsid w:val="005D7EC4"/>
    <w:rsid w:val="005E5875"/>
    <w:rsid w:val="005F3A35"/>
    <w:rsid w:val="0063083E"/>
    <w:rsid w:val="00653140"/>
    <w:rsid w:val="00690E61"/>
    <w:rsid w:val="006961D5"/>
    <w:rsid w:val="00696B36"/>
    <w:rsid w:val="006A3D81"/>
    <w:rsid w:val="006C3713"/>
    <w:rsid w:val="006E4454"/>
    <w:rsid w:val="006F7FC6"/>
    <w:rsid w:val="00711B19"/>
    <w:rsid w:val="00723D70"/>
    <w:rsid w:val="007345B8"/>
    <w:rsid w:val="00744801"/>
    <w:rsid w:val="00794A29"/>
    <w:rsid w:val="007B2AAC"/>
    <w:rsid w:val="007B46F8"/>
    <w:rsid w:val="007D21C3"/>
    <w:rsid w:val="007D3BF6"/>
    <w:rsid w:val="007E0772"/>
    <w:rsid w:val="007F6450"/>
    <w:rsid w:val="00803753"/>
    <w:rsid w:val="00814F20"/>
    <w:rsid w:val="0084009B"/>
    <w:rsid w:val="008474C8"/>
    <w:rsid w:val="00853FE6"/>
    <w:rsid w:val="00856303"/>
    <w:rsid w:val="008719ED"/>
    <w:rsid w:val="008736C1"/>
    <w:rsid w:val="008B0EB9"/>
    <w:rsid w:val="008B474D"/>
    <w:rsid w:val="009128F2"/>
    <w:rsid w:val="0092221E"/>
    <w:rsid w:val="00923797"/>
    <w:rsid w:val="00934274"/>
    <w:rsid w:val="00954239"/>
    <w:rsid w:val="0097220A"/>
    <w:rsid w:val="00976D32"/>
    <w:rsid w:val="009C0FDA"/>
    <w:rsid w:val="009D67BE"/>
    <w:rsid w:val="009E6A15"/>
    <w:rsid w:val="009F472E"/>
    <w:rsid w:val="00A1192F"/>
    <w:rsid w:val="00A406BC"/>
    <w:rsid w:val="00A87353"/>
    <w:rsid w:val="00AA3717"/>
    <w:rsid w:val="00AC41C5"/>
    <w:rsid w:val="00AC4F82"/>
    <w:rsid w:val="00AD2BE2"/>
    <w:rsid w:val="00B00FB1"/>
    <w:rsid w:val="00B05E1E"/>
    <w:rsid w:val="00B37858"/>
    <w:rsid w:val="00B42857"/>
    <w:rsid w:val="00B451D5"/>
    <w:rsid w:val="00B47D7E"/>
    <w:rsid w:val="00B54B05"/>
    <w:rsid w:val="00B61D07"/>
    <w:rsid w:val="00B654D4"/>
    <w:rsid w:val="00BA0326"/>
    <w:rsid w:val="00BC7B6B"/>
    <w:rsid w:val="00BE12B5"/>
    <w:rsid w:val="00BE7BA5"/>
    <w:rsid w:val="00BF3957"/>
    <w:rsid w:val="00C04797"/>
    <w:rsid w:val="00C167CD"/>
    <w:rsid w:val="00C21E32"/>
    <w:rsid w:val="00C44B46"/>
    <w:rsid w:val="00C463A8"/>
    <w:rsid w:val="00C967A4"/>
    <w:rsid w:val="00CC2A6A"/>
    <w:rsid w:val="00D00B24"/>
    <w:rsid w:val="00D14DE2"/>
    <w:rsid w:val="00D174A3"/>
    <w:rsid w:val="00D45347"/>
    <w:rsid w:val="00D82C8D"/>
    <w:rsid w:val="00D8642B"/>
    <w:rsid w:val="00DB073A"/>
    <w:rsid w:val="00DB1E60"/>
    <w:rsid w:val="00DB1F04"/>
    <w:rsid w:val="00DB2B28"/>
    <w:rsid w:val="00DC3464"/>
    <w:rsid w:val="00E030B0"/>
    <w:rsid w:val="00E21C96"/>
    <w:rsid w:val="00E21DD7"/>
    <w:rsid w:val="00E62DC7"/>
    <w:rsid w:val="00E70BE0"/>
    <w:rsid w:val="00E90FD1"/>
    <w:rsid w:val="00EA19EF"/>
    <w:rsid w:val="00EA20F7"/>
    <w:rsid w:val="00EB5E12"/>
    <w:rsid w:val="00EC3FF6"/>
    <w:rsid w:val="00EC5193"/>
    <w:rsid w:val="00EC7A9A"/>
    <w:rsid w:val="00ED223B"/>
    <w:rsid w:val="00EF5862"/>
    <w:rsid w:val="00F32246"/>
    <w:rsid w:val="00F3693B"/>
    <w:rsid w:val="00F76A36"/>
    <w:rsid w:val="00F8413F"/>
    <w:rsid w:val="00FB2009"/>
    <w:rsid w:val="00FB27B8"/>
    <w:rsid w:val="00FC4147"/>
    <w:rsid w:val="00FD1295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D809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78F"/>
    <w:pPr>
      <w:spacing w:after="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2C5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C57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78F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8F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5202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2B4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semiHidden/>
    <w:rsid w:val="005202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02B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5202B4"/>
    <w:rPr>
      <w:vertAlign w:val="superscript"/>
    </w:rPr>
  </w:style>
  <w:style w:type="character" w:customStyle="1" w:styleId="txt-new">
    <w:name w:val="txt-new"/>
    <w:basedOn w:val="Domylnaczcionkaakapitu"/>
    <w:rsid w:val="005202B4"/>
  </w:style>
  <w:style w:type="paragraph" w:customStyle="1" w:styleId="NormalnyWyjustowany">
    <w:name w:val="Normalny + Wyjustowany"/>
    <w:aliases w:val="Pierwszy wiersz:  1,25 cm"/>
    <w:basedOn w:val="Normalny"/>
    <w:rsid w:val="005202B4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C9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C96"/>
    <w:rPr>
      <w:rFonts w:ascii="Calibri" w:eastAsia="Calibri" w:hAnsi="Calibri" w:cs="Calibri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013FA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23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4C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74C8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4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3E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E36"/>
    <w:rPr>
      <w:rFonts w:ascii="Calibri" w:eastAsia="Calibri" w:hAnsi="Calibri" w:cs="Calibri"/>
    </w:rPr>
  </w:style>
  <w:style w:type="paragraph" w:customStyle="1" w:styleId="USTustnpkodeksu">
    <w:name w:val="UST(§) – ust. (§ np. kodeksu)"/>
    <w:basedOn w:val="ARTartustawynprozporzdzenia"/>
    <w:qFormat/>
    <w:rsid w:val="00EC519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C51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B05F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78F"/>
    <w:pPr>
      <w:spacing w:after="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2C5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C57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78F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8F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5202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2B4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semiHidden/>
    <w:rsid w:val="005202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02B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5202B4"/>
    <w:rPr>
      <w:vertAlign w:val="superscript"/>
    </w:rPr>
  </w:style>
  <w:style w:type="character" w:customStyle="1" w:styleId="txt-new">
    <w:name w:val="txt-new"/>
    <w:basedOn w:val="Domylnaczcionkaakapitu"/>
    <w:rsid w:val="005202B4"/>
  </w:style>
  <w:style w:type="paragraph" w:customStyle="1" w:styleId="NormalnyWyjustowany">
    <w:name w:val="Normalny + Wyjustowany"/>
    <w:aliases w:val="Pierwszy wiersz:  1,25 cm"/>
    <w:basedOn w:val="Normalny"/>
    <w:rsid w:val="005202B4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C9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C96"/>
    <w:rPr>
      <w:rFonts w:ascii="Calibri" w:eastAsia="Calibri" w:hAnsi="Calibri" w:cs="Calibri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013FA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23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4C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74C8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4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3E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E36"/>
    <w:rPr>
      <w:rFonts w:ascii="Calibri" w:eastAsia="Calibri" w:hAnsi="Calibri" w:cs="Calibri"/>
    </w:rPr>
  </w:style>
  <w:style w:type="paragraph" w:customStyle="1" w:styleId="USTustnpkodeksu">
    <w:name w:val="UST(§) – ust. (§ np. kodeksu)"/>
    <w:basedOn w:val="ARTartustawynprozporzdzenia"/>
    <w:qFormat/>
    <w:rsid w:val="00EC519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C51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B05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3905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2020-09-22T08:03:00Z</dcterms:created>
  <dcterms:modified xsi:type="dcterms:W3CDTF">2020-09-22T08:03:00Z</dcterms:modified>
</cp:coreProperties>
</file>